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FC7" w:rsidRDefault="00406559" w:rsidP="00EB31D2">
      <w:pPr>
        <w:pStyle w:val="Contributiontitle"/>
      </w:pPr>
      <w:r w:rsidRPr="00406559">
        <w:t xml:space="preserve">Probabilistic Modelling and Complex Energy </w:t>
      </w:r>
      <w:r w:rsidR="00B3638C">
        <w:br/>
      </w:r>
      <w:r w:rsidR="009B217A">
        <w:t>Landscape Design and Planning:</w:t>
      </w:r>
      <w:r w:rsidR="00831C6C">
        <w:br/>
        <w:t>A</w:t>
      </w:r>
      <w:r w:rsidR="009B217A">
        <w:t xml:space="preserve">n </w:t>
      </w:r>
      <w:r w:rsidR="00831C6C">
        <w:t>E</w:t>
      </w:r>
      <w:r w:rsidR="009B217A">
        <w:t xml:space="preserve">xperimental </w:t>
      </w:r>
      <w:r w:rsidR="00831C6C">
        <w:t>A</w:t>
      </w:r>
      <w:r w:rsidRPr="00406559">
        <w:t>pproach</w:t>
      </w:r>
    </w:p>
    <w:p w:rsidR="00D42FC7" w:rsidRDefault="00EB31D2">
      <w:pPr>
        <w:pStyle w:val="Authorsnames"/>
        <w:rPr>
          <w:vertAlign w:val="superscript"/>
        </w:rPr>
      </w:pPr>
      <w:r>
        <w:t>Timothy Murtha</w:t>
      </w:r>
      <w:r w:rsidRPr="00073032">
        <w:rPr>
          <w:vertAlign w:val="superscript"/>
        </w:rPr>
        <w:t>1</w:t>
      </w:r>
      <w:r>
        <w:t>, Richard Hammond</w:t>
      </w:r>
      <w:r>
        <w:rPr>
          <w:vertAlign w:val="superscript"/>
        </w:rPr>
        <w:t>2</w:t>
      </w:r>
      <w:r>
        <w:t>, Brian Orland</w:t>
      </w:r>
      <w:r>
        <w:rPr>
          <w:vertAlign w:val="superscript"/>
        </w:rPr>
        <w:t>2</w:t>
      </w:r>
      <w:r>
        <w:t xml:space="preserve">, </w:t>
      </w:r>
      <w:proofErr w:type="spellStart"/>
      <w:r>
        <w:t>Lacey</w:t>
      </w:r>
      <w:proofErr w:type="spellEnd"/>
      <w:r>
        <w:t xml:space="preserve"> Goldberg</w:t>
      </w:r>
      <w:r>
        <w:rPr>
          <w:vertAlign w:val="superscript"/>
        </w:rPr>
        <w:t>2</w:t>
      </w:r>
    </w:p>
    <w:p w:rsidR="0020172A" w:rsidRPr="00904544" w:rsidRDefault="00EB31D2" w:rsidP="0020172A">
      <w:pPr>
        <w:pStyle w:val="Address2"/>
        <w:rPr>
          <w:lang w:val="en-US"/>
        </w:rPr>
      </w:pPr>
      <w:r w:rsidRPr="00904544">
        <w:rPr>
          <w:vertAlign w:val="superscript"/>
          <w:lang w:val="en-US"/>
        </w:rPr>
        <w:t>1</w:t>
      </w:r>
      <w:r>
        <w:rPr>
          <w:lang w:val="en-US"/>
        </w:rPr>
        <w:t>P</w:t>
      </w:r>
      <w:r w:rsidRPr="00904544">
        <w:rPr>
          <w:lang w:val="en-US"/>
        </w:rPr>
        <w:t xml:space="preserve">enn State University, </w:t>
      </w:r>
      <w:r w:rsidR="00406559" w:rsidRPr="00904544">
        <w:rPr>
          <w:lang w:val="en-US"/>
        </w:rPr>
        <w:t>Pennsylvania</w:t>
      </w:r>
      <w:r w:rsidR="0020172A" w:rsidRPr="00904544">
        <w:rPr>
          <w:lang w:val="en-US"/>
        </w:rPr>
        <w:t>/</w:t>
      </w:r>
      <w:r w:rsidR="00406559" w:rsidRPr="00904544">
        <w:rPr>
          <w:lang w:val="en-US"/>
        </w:rPr>
        <w:t>USA</w:t>
      </w:r>
      <w:r w:rsidR="0020172A" w:rsidRPr="00904544">
        <w:rPr>
          <w:lang w:val="en-US"/>
        </w:rPr>
        <w:t xml:space="preserve"> · </w:t>
      </w:r>
      <w:r w:rsidR="00406559" w:rsidRPr="00904544">
        <w:rPr>
          <w:lang w:val="en-US"/>
        </w:rPr>
        <w:t>murtha@psu.edu</w:t>
      </w:r>
    </w:p>
    <w:p w:rsidR="00073032" w:rsidRPr="00EB31D2" w:rsidRDefault="00EB31D2" w:rsidP="00EB31D2">
      <w:pPr>
        <w:pStyle w:val="Address"/>
        <w:rPr>
          <w:lang w:val="en-US"/>
        </w:rPr>
      </w:pPr>
      <w:r w:rsidRPr="00EB31D2">
        <w:rPr>
          <w:vertAlign w:val="superscript"/>
          <w:lang w:val="en-US"/>
        </w:rPr>
        <w:t>2</w:t>
      </w:r>
      <w:r w:rsidRPr="00EB31D2">
        <w:rPr>
          <w:lang w:val="en-US"/>
        </w:rPr>
        <w:t>Penn State University</w:t>
      </w:r>
      <w:r w:rsidR="0020172A" w:rsidRPr="00EB31D2">
        <w:rPr>
          <w:lang w:val="en-US"/>
        </w:rPr>
        <w:t xml:space="preserve">, </w:t>
      </w:r>
      <w:r w:rsidR="00406559" w:rsidRPr="00EB31D2">
        <w:rPr>
          <w:lang w:val="en-US"/>
        </w:rPr>
        <w:t>Pennsylvania</w:t>
      </w:r>
      <w:r w:rsidR="0020172A" w:rsidRPr="00EB31D2">
        <w:rPr>
          <w:lang w:val="en-US"/>
        </w:rPr>
        <w:t>/</w:t>
      </w:r>
      <w:r w:rsidR="00406559" w:rsidRPr="00EB31D2">
        <w:rPr>
          <w:lang w:val="en-US"/>
        </w:rPr>
        <w:t>USA</w:t>
      </w:r>
    </w:p>
    <w:p w:rsidR="00D42FC7" w:rsidRDefault="00EB31D2" w:rsidP="00EB31D2">
      <w:pPr>
        <w:pStyle w:val="Abstract"/>
      </w:pPr>
      <w:r w:rsidRPr="00EB31D2">
        <w:rPr>
          <w:b/>
        </w:rPr>
        <w:t>Abstract:</w:t>
      </w:r>
      <w:r>
        <w:t xml:space="preserve"> </w:t>
      </w:r>
      <w:r w:rsidR="006D6ADD">
        <w:t xml:space="preserve">Spatially explicit and temporally sensitive probabilistic modelling and environmental simulation offer </w:t>
      </w:r>
      <w:r w:rsidR="00195245">
        <w:t xml:space="preserve">advantages to large scale landscape planning and design, especially in the context of energy exploration. Using a case study from North America, we investigate the strengths and appropriate </w:t>
      </w:r>
      <w:r w:rsidR="00DC2B6E">
        <w:t>uses of</w:t>
      </w:r>
      <w:r w:rsidR="00195245">
        <w:t xml:space="preserve"> probabilistic modelling </w:t>
      </w:r>
      <w:r w:rsidR="00815455">
        <w:t>for regional decision making</w:t>
      </w:r>
      <w:r w:rsidR="00F15B5C">
        <w:t>. The case study explores shale gas extraction from the Marcellus Shale region.</w:t>
      </w:r>
      <w:r w:rsidR="00195245">
        <w:t xml:space="preserve"> </w:t>
      </w:r>
      <w:r w:rsidR="00453972">
        <w:t>We not only demonstrate the usefulness for integrating these models in the design and planning process, but also offer some gui</w:t>
      </w:r>
      <w:r w:rsidR="00F15B5C">
        <w:t>dance for the appropriate scales</w:t>
      </w:r>
      <w:r w:rsidR="00453972">
        <w:t xml:space="preserve"> and </w:t>
      </w:r>
      <w:r w:rsidR="00DC2B6E">
        <w:t>applications</w:t>
      </w:r>
      <w:r w:rsidR="00453972">
        <w:t>.</w:t>
      </w:r>
    </w:p>
    <w:p w:rsidR="00EB31D2" w:rsidRDefault="00EB31D2" w:rsidP="00EB31D2">
      <w:pPr>
        <w:pStyle w:val="Keywords"/>
      </w:pPr>
      <w:r w:rsidRPr="007D2C18">
        <w:rPr>
          <w:b/>
        </w:rPr>
        <w:t>Keywords:</w:t>
      </w:r>
      <w:r>
        <w:t xml:space="preserve"> </w:t>
      </w:r>
      <w:proofErr w:type="spellStart"/>
      <w:r w:rsidR="007D2C18" w:rsidRPr="007D2C18">
        <w:t>Geodesign</w:t>
      </w:r>
      <w:proofErr w:type="spellEnd"/>
      <w:r w:rsidR="007D2C18" w:rsidRPr="007D2C18">
        <w:t>, simulation</w:t>
      </w:r>
      <w:r w:rsidR="007D2C18">
        <w:t xml:space="preserve">, </w:t>
      </w:r>
      <w:r w:rsidR="00AC5E6C">
        <w:t>energy exploration</w:t>
      </w:r>
    </w:p>
    <w:p w:rsidR="00D42FC7" w:rsidRDefault="00D42FC7">
      <w:pPr>
        <w:pStyle w:val="berschrift1"/>
      </w:pPr>
      <w:r>
        <w:t>1</w:t>
      </w:r>
      <w:r>
        <w:tab/>
        <w:t>Introduction</w:t>
      </w:r>
    </w:p>
    <w:p w:rsidR="006D6ADD" w:rsidRDefault="006D6ADD" w:rsidP="006D6ADD">
      <w:r>
        <w:t xml:space="preserve">This </w:t>
      </w:r>
      <w:r w:rsidR="00F15B5C">
        <w:t xml:space="preserve">is a descriptive </w:t>
      </w:r>
      <w:r>
        <w:t xml:space="preserve">paper </w:t>
      </w:r>
      <w:r w:rsidR="00F15B5C">
        <w:t>of a complex process. Here, we report the results of</w:t>
      </w:r>
      <w:r>
        <w:t xml:space="preserve"> an experi</w:t>
      </w:r>
      <w:r w:rsidR="00187391">
        <w:softHyphen/>
      </w:r>
      <w:r>
        <w:t>mental approach to applying spatially relevant probabilistic modelling and environmental simulation to systems thinking in the design and planning process.</w:t>
      </w:r>
      <w:r w:rsidR="00F15B5C">
        <w:t xml:space="preserve"> The length of this paper does not allow for in depth discussion about the specifics of our approach. Instead we focus on the application of the results in design and planning. Another paper </w:t>
      </w:r>
      <w:r w:rsidR="001D75B5">
        <w:t>will discuss</w:t>
      </w:r>
      <w:r w:rsidR="00F15B5C">
        <w:t xml:space="preserve"> our modelling approach with greater detail.</w:t>
      </w:r>
      <w:r>
        <w:t xml:space="preserve"> </w:t>
      </w:r>
      <w:r w:rsidR="00F15B5C">
        <w:t>Here</w:t>
      </w:r>
      <w:r>
        <w:t xml:space="preserve">, we examine </w:t>
      </w:r>
      <w:r w:rsidR="00F15B5C">
        <w:t xml:space="preserve">the results of </w:t>
      </w:r>
      <w:r>
        <w:t>an adapted maximum entropy approach</w:t>
      </w:r>
      <w:r w:rsidR="00195245">
        <w:t xml:space="preserve"> and software</w:t>
      </w:r>
      <w:r>
        <w:t xml:space="preserve"> (</w:t>
      </w:r>
      <w:r w:rsidR="00451337">
        <w:rPr>
          <w:smallCaps/>
        </w:rPr>
        <w:t>Phillips</w:t>
      </w:r>
      <w:r w:rsidR="00451337">
        <w:t xml:space="preserve"> </w:t>
      </w:r>
      <w:r>
        <w:t xml:space="preserve">et al. 2004), originally designed for species habitat </w:t>
      </w:r>
      <w:proofErr w:type="spellStart"/>
      <w:r>
        <w:t>modeling</w:t>
      </w:r>
      <w:proofErr w:type="spellEnd"/>
      <w:r>
        <w:t xml:space="preserve"> and </w:t>
      </w:r>
      <w:r w:rsidR="001D75B5">
        <w:t>large-scale</w:t>
      </w:r>
      <w:r>
        <w:t xml:space="preserve"> biodiversity conservatio</w:t>
      </w:r>
      <w:r w:rsidR="00F15B5C">
        <w:t>n. We use this approach</w:t>
      </w:r>
      <w:r>
        <w:t xml:space="preserve"> to investigate the complex dynamics of an intensive energy landscape in the United States, i.</w:t>
      </w:r>
      <w:r w:rsidR="00555E7D">
        <w:t> </w:t>
      </w:r>
      <w:r>
        <w:t xml:space="preserve">e., shale gas exploration in Pennsylvania. Using an </w:t>
      </w:r>
      <w:r w:rsidR="00F15B5C">
        <w:t>iterative</w:t>
      </w:r>
      <w:r>
        <w:t xml:space="preserve"> approach, we adapt</w:t>
      </w:r>
      <w:r w:rsidR="00F15B5C">
        <w:t>ed</w:t>
      </w:r>
      <w:r>
        <w:t xml:space="preserve"> techniques </w:t>
      </w:r>
      <w:r w:rsidR="00F15B5C">
        <w:t>first applied</w:t>
      </w:r>
      <w:r>
        <w:t xml:space="preserve"> by </w:t>
      </w:r>
      <w:r w:rsidR="00451337">
        <w:rPr>
          <w:smallCaps/>
        </w:rPr>
        <w:t>Johnson</w:t>
      </w:r>
      <w:r w:rsidR="00451337">
        <w:t xml:space="preserve"> </w:t>
      </w:r>
      <w:r>
        <w:t xml:space="preserve">(2010) to </w:t>
      </w:r>
      <w:r w:rsidR="00195245">
        <w:t>project the form and distribution of</w:t>
      </w:r>
      <w:r>
        <w:t xml:space="preserve"> Pennsylvania</w:t>
      </w:r>
      <w:r w:rsidR="00195245">
        <w:t xml:space="preserve">’s </w:t>
      </w:r>
      <w:r w:rsidR="00815455">
        <w:t xml:space="preserve">future </w:t>
      </w:r>
      <w:r w:rsidR="00195245">
        <w:t xml:space="preserve">energy </w:t>
      </w:r>
      <w:r w:rsidR="00DC2B6E">
        <w:t xml:space="preserve">extraction </w:t>
      </w:r>
      <w:r w:rsidR="00195245">
        <w:t>landscape</w:t>
      </w:r>
      <w:r>
        <w:t>.</w:t>
      </w:r>
      <w:r w:rsidR="00195245">
        <w:t xml:space="preserve"> </w:t>
      </w:r>
      <w:r w:rsidR="00DC2B6E">
        <w:t>The</w:t>
      </w:r>
      <w:r w:rsidR="00195245">
        <w:t xml:space="preserve"> purpose of the simulations </w:t>
      </w:r>
      <w:r w:rsidR="00815455">
        <w:t>is</w:t>
      </w:r>
      <w:r w:rsidR="00195245">
        <w:t xml:space="preserve"> not to accurately predict specific location</w:t>
      </w:r>
      <w:r w:rsidR="00DC2B6E">
        <w:t>s</w:t>
      </w:r>
      <w:r w:rsidR="00195245">
        <w:t xml:space="preserve"> of natural gas well</w:t>
      </w:r>
      <w:r w:rsidR="00815455">
        <w:t xml:space="preserve"> </w:t>
      </w:r>
      <w:r w:rsidR="00195245">
        <w:t xml:space="preserve">pads or </w:t>
      </w:r>
      <w:r w:rsidR="00815455">
        <w:t>extraction</w:t>
      </w:r>
      <w:r w:rsidR="00DC2B6E">
        <w:t xml:space="preserve"> sites, but</w:t>
      </w:r>
      <w:r w:rsidR="00195245">
        <w:t xml:space="preserve"> to identify </w:t>
      </w:r>
      <w:r w:rsidR="00F15B5C">
        <w:t xml:space="preserve">design and planning scale </w:t>
      </w:r>
      <w:r w:rsidR="00195245">
        <w:t>sub-regional</w:t>
      </w:r>
      <w:r w:rsidR="00F15B5C">
        <w:t xml:space="preserve"> patterns. The goal is to </w:t>
      </w:r>
      <w:r w:rsidR="001D75B5">
        <w:t xml:space="preserve">also </w:t>
      </w:r>
      <w:r w:rsidR="00F15B5C">
        <w:t>project potential futures on</w:t>
      </w:r>
      <w:r w:rsidR="00195245">
        <w:t xml:space="preserve"> landscapes where </w:t>
      </w:r>
      <w:r w:rsidR="00453972">
        <w:t>exploration and extraction activities are likely to occur in the next 15</w:t>
      </w:r>
      <w:r w:rsidR="00815455">
        <w:t>-20</w:t>
      </w:r>
      <w:r w:rsidR="00453972">
        <w:t xml:space="preserve"> years and to quantify th</w:t>
      </w:r>
      <w:r w:rsidR="00265691">
        <w:t>e infrastructure needed</w:t>
      </w:r>
      <w:r w:rsidR="00453972">
        <w:t xml:space="preserve"> to support the </w:t>
      </w:r>
      <w:proofErr w:type="spellStart"/>
      <w:r w:rsidR="00187391">
        <w:t>active</w:t>
      </w:r>
      <w:r w:rsidR="00453972">
        <w:t>ties</w:t>
      </w:r>
      <w:proofErr w:type="spellEnd"/>
      <w:r w:rsidR="00453972">
        <w:t>, e.</w:t>
      </w:r>
      <w:r w:rsidR="00555E7D">
        <w:t> </w:t>
      </w:r>
      <w:r w:rsidR="00453972">
        <w:t>g., road and pipeline construction.</w:t>
      </w:r>
      <w:r w:rsidR="00F15B5C">
        <w:t xml:space="preserve"> It is a spatially and temporally sensitive approach to modelling.</w:t>
      </w:r>
    </w:p>
    <w:p w:rsidR="006D6ADD" w:rsidRDefault="006D6ADD" w:rsidP="006D6ADD">
      <w:r>
        <w:t xml:space="preserve">Relying on data published by the </w:t>
      </w:r>
      <w:r w:rsidRPr="00815455">
        <w:rPr>
          <w:i/>
        </w:rPr>
        <w:t>Pennsylvania Department of Conservation and Natural Resources</w:t>
      </w:r>
      <w:r w:rsidR="00815455">
        <w:t>, we first model</w:t>
      </w:r>
      <w:r>
        <w:t xml:space="preserve"> future projections of gas exploration activities using current observations of the presence of drilling from 2009 to 2014. Similar to </w:t>
      </w:r>
      <w:r w:rsidR="00451337">
        <w:rPr>
          <w:smallCaps/>
        </w:rPr>
        <w:t>Johnson</w:t>
      </w:r>
      <w:r>
        <w:t xml:space="preserve">'s report (2010) these observations were compared to basic environmental and geological data, such as depth to the Marcellus deposit and thickness of the deposit measured across our region of interest. The goal was to </w:t>
      </w:r>
      <w:r w:rsidR="00453972">
        <w:t>interpolate a probability grid</w:t>
      </w:r>
      <w:r>
        <w:t xml:space="preserve"> throughout the region </w:t>
      </w:r>
      <w:r w:rsidR="00453972">
        <w:t xml:space="preserve">that </w:t>
      </w:r>
      <w:r w:rsidR="00265691">
        <w:t>highlights</w:t>
      </w:r>
      <w:r>
        <w:t xml:space="preserve"> similar conditions</w:t>
      </w:r>
      <w:r w:rsidR="00815455">
        <w:t xml:space="preserve"> to observed locations (</w:t>
      </w:r>
      <w:r w:rsidR="00815455" w:rsidRPr="001E0999">
        <w:t>i.</w:t>
      </w:r>
      <w:r w:rsidR="00555E7D" w:rsidRPr="001E0999">
        <w:t> </w:t>
      </w:r>
      <w:r w:rsidR="00815455" w:rsidRPr="001E0999">
        <w:t>e</w:t>
      </w:r>
      <w:r w:rsidR="00815455" w:rsidRPr="00815455">
        <w:rPr>
          <w:i/>
        </w:rPr>
        <w:t>.,</w:t>
      </w:r>
      <w:r w:rsidR="00815455">
        <w:t xml:space="preserve"> permitted well pads)</w:t>
      </w:r>
      <w:r>
        <w:t xml:space="preserve">, thereby allowing us to develop </w:t>
      </w:r>
      <w:r>
        <w:lastRenderedPageBreak/>
        <w:t>a model for the potential distribution of future gas exploration activities (</w:t>
      </w:r>
      <w:r w:rsidR="00451337">
        <w:rPr>
          <w:smallCaps/>
        </w:rPr>
        <w:t>Phillips</w:t>
      </w:r>
      <w:r w:rsidR="00356F5D">
        <w:t xml:space="preserve"> </w:t>
      </w:r>
      <w:r>
        <w:t xml:space="preserve">et al. 2006 and 2004). </w:t>
      </w:r>
    </w:p>
    <w:p w:rsidR="00CA57C8" w:rsidRDefault="00F15B5C" w:rsidP="006D6ADD">
      <w:r>
        <w:t>We</w:t>
      </w:r>
      <w:r w:rsidR="006D6ADD">
        <w:t xml:space="preserve"> relied on spatial analysis</w:t>
      </w:r>
      <w:r>
        <w:t>/data preparation</w:t>
      </w:r>
      <w:r w:rsidR="006D6ADD">
        <w:t xml:space="preserve"> carried out in GIS and </w:t>
      </w:r>
      <w:proofErr w:type="spellStart"/>
      <w:r w:rsidR="006D6ADD">
        <w:t>MaxEnt</w:t>
      </w:r>
      <w:proofErr w:type="spellEnd"/>
      <w:r w:rsidR="006D6ADD">
        <w:t xml:space="preserve"> software</w:t>
      </w:r>
      <w:r>
        <w:t xml:space="preserve"> to develop our initial projections</w:t>
      </w:r>
      <w:r w:rsidR="006D6ADD">
        <w:t xml:space="preserve"> (</w:t>
      </w:r>
      <w:r w:rsidR="00451337">
        <w:rPr>
          <w:smallCaps/>
        </w:rPr>
        <w:t>Phillips</w:t>
      </w:r>
      <w:r w:rsidR="00356F5D">
        <w:t xml:space="preserve"> </w:t>
      </w:r>
      <w:r w:rsidR="006D6ADD">
        <w:t xml:space="preserve">et al. 2004). </w:t>
      </w:r>
      <w:proofErr w:type="spellStart"/>
      <w:r w:rsidR="006D6ADD">
        <w:t>MaxEnt</w:t>
      </w:r>
      <w:proofErr w:type="spellEnd"/>
      <w:r w:rsidR="006D6ADD">
        <w:t xml:space="preserve"> is software based on the maximum entropy approach which produces a model distribution based on a set of environmental layers and geographic coordinates of occurrences or observations (</w:t>
      </w:r>
      <w:proofErr w:type="spellStart"/>
      <w:r w:rsidR="00451337">
        <w:rPr>
          <w:smallCaps/>
        </w:rPr>
        <w:t>Elith</w:t>
      </w:r>
      <w:proofErr w:type="spellEnd"/>
      <w:r w:rsidR="00451337">
        <w:t xml:space="preserve"> et</w:t>
      </w:r>
      <w:r w:rsidR="006D6ADD">
        <w:t xml:space="preserve"> al</w:t>
      </w:r>
      <w:r w:rsidR="00451337">
        <w:t>.</w:t>
      </w:r>
      <w:r w:rsidR="006D6ADD">
        <w:t xml:space="preserve"> 2011</w:t>
      </w:r>
      <w:r w:rsidR="00187391">
        <w:t xml:space="preserve">, </w:t>
      </w:r>
      <w:r w:rsidR="00451337">
        <w:rPr>
          <w:smallCaps/>
        </w:rPr>
        <w:t>Phillips</w:t>
      </w:r>
      <w:r w:rsidR="00356F5D">
        <w:t xml:space="preserve"> </w:t>
      </w:r>
      <w:r w:rsidR="006D6ADD">
        <w:t>et al</w:t>
      </w:r>
      <w:r>
        <w:t>. 2006 and 2004)</w:t>
      </w:r>
      <w:r w:rsidR="006D6ADD">
        <w:t xml:space="preserve">. In order to fully </w:t>
      </w:r>
      <w:r>
        <w:t>understand</w:t>
      </w:r>
      <w:r w:rsidR="006D6ADD">
        <w:t xml:space="preserve"> the </w:t>
      </w:r>
      <w:r>
        <w:t>model outputs</w:t>
      </w:r>
      <w:r w:rsidR="006D6ADD">
        <w:t xml:space="preserve">, we ran the </w:t>
      </w:r>
      <w:r>
        <w:t>projects</w:t>
      </w:r>
      <w:r w:rsidR="006D6ADD">
        <w:t xml:space="preserve"> through multiple iterations, each time adding potentially influential variables not originally considered </w:t>
      </w:r>
      <w:r>
        <w:t xml:space="preserve">by </w:t>
      </w:r>
      <w:r w:rsidR="00451337">
        <w:rPr>
          <w:smallCaps/>
        </w:rPr>
        <w:t>Johnson</w:t>
      </w:r>
      <w:r>
        <w:t xml:space="preserve"> (</w:t>
      </w:r>
      <w:r w:rsidR="00451337">
        <w:rPr>
          <w:smallCaps/>
        </w:rPr>
        <w:t>Johnson</w:t>
      </w:r>
      <w:r w:rsidR="00356F5D">
        <w:t xml:space="preserve"> </w:t>
      </w:r>
      <w:r w:rsidR="00451337">
        <w:t>et</w:t>
      </w:r>
      <w:r>
        <w:t xml:space="preserve"> al</w:t>
      </w:r>
      <w:r w:rsidR="00451337">
        <w:t>.</w:t>
      </w:r>
      <w:r>
        <w:t xml:space="preserve"> 2010)</w:t>
      </w:r>
      <w:r w:rsidR="006D6ADD">
        <w:t xml:space="preserve">, such as land use, land cover and proximity to infrastructure. </w:t>
      </w:r>
      <w:r>
        <w:t>Due to</w:t>
      </w:r>
      <w:r w:rsidR="006D6ADD">
        <w:t xml:space="preserve"> global market decline in the price of natural gas, we </w:t>
      </w:r>
      <w:r>
        <w:t>also</w:t>
      </w:r>
      <w:r w:rsidR="006D6ADD">
        <w:t xml:space="preserve"> ran the model through annual iterations to examine whether the </w:t>
      </w:r>
      <w:r>
        <w:t>projections</w:t>
      </w:r>
      <w:r w:rsidR="006D6ADD">
        <w:t xml:space="preserve"> would be sensitive to changes in activity due</w:t>
      </w:r>
      <w:r>
        <w:t xml:space="preserve"> to changing market conditions. Each time we ran the model we reserved 50</w:t>
      </w:r>
      <w:r w:rsidR="006D494A">
        <w:t xml:space="preserve"> </w:t>
      </w:r>
      <w:r>
        <w:t xml:space="preserve">% of our </w:t>
      </w:r>
      <w:r w:rsidR="001D75B5">
        <w:t>sample</w:t>
      </w:r>
      <w:r>
        <w:t xml:space="preserve"> to test the efficacy of the model.</w:t>
      </w:r>
    </w:p>
    <w:p w:rsidR="006D6ADD" w:rsidRDefault="00F15B5C" w:rsidP="006D6ADD">
      <w:r>
        <w:t xml:space="preserve">Using probabilities developed in </w:t>
      </w:r>
      <w:proofErr w:type="spellStart"/>
      <w:r>
        <w:t>MaxEnt</w:t>
      </w:r>
      <w:proofErr w:type="spellEnd"/>
      <w:r>
        <w:t>,</w:t>
      </w:r>
      <w:r w:rsidR="006D6ADD">
        <w:t xml:space="preserve"> we then developed a series of </w:t>
      </w:r>
      <w:r>
        <w:t xml:space="preserve">scaled </w:t>
      </w:r>
      <w:r w:rsidR="006D6ADD">
        <w:t xml:space="preserve">formal environmental simulations, using cost distance </w:t>
      </w:r>
      <w:proofErr w:type="spellStart"/>
      <w:r w:rsidR="006D6ADD">
        <w:t>modeling</w:t>
      </w:r>
      <w:proofErr w:type="spellEnd"/>
      <w:r w:rsidR="006D6ADD">
        <w:t xml:space="preserve">, to examine how the future shale gas activities, would potentially influence the development of necessary infrastructure, </w:t>
      </w:r>
      <w:r>
        <w:t xml:space="preserve">specifically focused on </w:t>
      </w:r>
      <w:r w:rsidR="006D6ADD">
        <w:t>pipelines and roads. Elsewhere</w:t>
      </w:r>
      <w:r w:rsidR="00815455">
        <w:t>,</w:t>
      </w:r>
      <w:r w:rsidR="006D6ADD">
        <w:t xml:space="preserve"> we have demonstrated the relative importance of pipelines and roads from a design and planning perspective, when compared to well pad </w:t>
      </w:r>
      <w:r w:rsidR="00815455">
        <w:t>locations (</w:t>
      </w:r>
      <w:r w:rsidR="00451337">
        <w:rPr>
          <w:smallCaps/>
        </w:rPr>
        <w:t>Orland</w:t>
      </w:r>
      <w:r w:rsidR="00356F5D">
        <w:t xml:space="preserve"> </w:t>
      </w:r>
      <w:r w:rsidR="00187391">
        <w:t xml:space="preserve">&amp; </w:t>
      </w:r>
      <w:r w:rsidR="00451337">
        <w:rPr>
          <w:smallCaps/>
        </w:rPr>
        <w:t xml:space="preserve">Murtha </w:t>
      </w:r>
      <w:r w:rsidR="00815455">
        <w:t>2014)</w:t>
      </w:r>
      <w:r w:rsidR="006D6ADD">
        <w:t xml:space="preserve">. As a baseline, we first calculated least cost surfaces for infrastructure development and compared these outputs to models that incorporated federal and local regulations to protect natural and cultural resources. All of these projections were then used to develop a series of spatially relevant design and planning </w:t>
      </w:r>
      <w:r w:rsidR="00265691">
        <w:t>ideas</w:t>
      </w:r>
      <w:r w:rsidR="006D6ADD">
        <w:t>.</w:t>
      </w:r>
    </w:p>
    <w:p w:rsidR="006D6ADD" w:rsidRDefault="00F15B5C" w:rsidP="006D6ADD">
      <w:r>
        <w:t xml:space="preserve">Finally, all of these projections were used at a county or regional scale to inform a series </w:t>
      </w:r>
      <w:r w:rsidR="001D75B5">
        <w:t>of design and planning projects</w:t>
      </w:r>
      <w:r>
        <w:t xml:space="preserve"> focused on topics such as sense of place, energy futures and water planning. </w:t>
      </w:r>
      <w:r w:rsidR="001D75B5">
        <w:t>We</w:t>
      </w:r>
      <w:r w:rsidR="006D6ADD">
        <w:t xml:space="preserve"> only</w:t>
      </w:r>
      <w:r>
        <w:t xml:space="preserve"> briefly</w:t>
      </w:r>
      <w:r w:rsidR="006D6ADD">
        <w:t xml:space="preserve"> </w:t>
      </w:r>
      <w:r w:rsidR="00815455">
        <w:t>describe</w:t>
      </w:r>
      <w:r w:rsidR="006D6ADD">
        <w:t xml:space="preserve"> our </w:t>
      </w:r>
      <w:proofErr w:type="spellStart"/>
      <w:r w:rsidR="001D75B5">
        <w:t>modeling</w:t>
      </w:r>
      <w:proofErr w:type="spellEnd"/>
      <w:r w:rsidR="001D75B5">
        <w:t xml:space="preserve"> </w:t>
      </w:r>
      <w:r w:rsidR="006D6ADD">
        <w:t>methods</w:t>
      </w:r>
      <w:r>
        <w:t xml:space="preserve"> here</w:t>
      </w:r>
      <w:r w:rsidR="001D75B5">
        <w:t xml:space="preserve"> emphasizing</w:t>
      </w:r>
      <w:r>
        <w:t xml:space="preserve"> the application of the inform</w:t>
      </w:r>
      <w:r w:rsidR="001D75B5">
        <w:t>ation to design and planning. Through this work we have identified two</w:t>
      </w:r>
      <w:r w:rsidR="006D6ADD">
        <w:t xml:space="preserve"> key conclusions or considerations:</w:t>
      </w:r>
    </w:p>
    <w:p w:rsidR="006D6ADD" w:rsidRDefault="006D6ADD" w:rsidP="00831C6C">
      <w:pPr>
        <w:numPr>
          <w:ilvl w:val="0"/>
          <w:numId w:val="13"/>
        </w:numPr>
        <w:ind w:left="357" w:hanging="357"/>
      </w:pPr>
      <w:r>
        <w:t>Outputs from probabilistic models need to be cautiously incorporated into the design and planning process at multiple scales.</w:t>
      </w:r>
      <w:r w:rsidR="00F15B5C">
        <w:t xml:space="preserve"> Specific locations should not be reported</w:t>
      </w:r>
      <w:r w:rsidR="001D75B5">
        <w:t xml:space="preserve"> (used for design projects)</w:t>
      </w:r>
      <w:r w:rsidR="00F15B5C">
        <w:t xml:space="preserve"> and regional or sub-basin summaries provide more useful design scale information.</w:t>
      </w:r>
    </w:p>
    <w:p w:rsidR="006D6ADD" w:rsidRDefault="006D6ADD" w:rsidP="00831C6C">
      <w:pPr>
        <w:numPr>
          <w:ilvl w:val="0"/>
          <w:numId w:val="13"/>
        </w:numPr>
        <w:ind w:left="357" w:hanging="357"/>
      </w:pPr>
      <w:r>
        <w:t>Like all useful analytical techniques, probabilistic models should be integrated within the design and</w:t>
      </w:r>
      <w:r w:rsidR="00F15B5C">
        <w:t xml:space="preserve"> planning process, iteratively. Simply, we identified a number of ways to improve the projections during the</w:t>
      </w:r>
      <w:r w:rsidR="001D75B5">
        <w:t xml:space="preserve"> execution of the many</w:t>
      </w:r>
      <w:r w:rsidR="00F15B5C">
        <w:t xml:space="preserve"> design and planning </w:t>
      </w:r>
      <w:r w:rsidR="001D75B5">
        <w:t>projects</w:t>
      </w:r>
      <w:r w:rsidR="00F15B5C">
        <w:t>. In future attempts we will include time to re-run projections during the design and planning process.</w:t>
      </w:r>
    </w:p>
    <w:p w:rsidR="000C5F4C" w:rsidRDefault="000C5F4C" w:rsidP="000C5F4C"/>
    <w:p w:rsidR="000C5F4C" w:rsidRDefault="000C5F4C" w:rsidP="000C5F4C"/>
    <w:p w:rsidR="007D2C18" w:rsidRDefault="007D2C18" w:rsidP="000C5F4C"/>
    <w:p w:rsidR="007D2C18" w:rsidRDefault="007D2C18" w:rsidP="000C5F4C"/>
    <w:p w:rsidR="008F0816" w:rsidRDefault="008F0816" w:rsidP="000C5F4C">
      <w:pPr>
        <w:pStyle w:val="berschrift1"/>
        <w:ind w:left="0" w:firstLine="0"/>
      </w:pPr>
    </w:p>
    <w:p w:rsidR="00D42FC7" w:rsidRDefault="00D42FC7" w:rsidP="000C5F4C">
      <w:pPr>
        <w:pStyle w:val="berschrift1"/>
        <w:ind w:left="0" w:firstLine="0"/>
      </w:pPr>
      <w:r>
        <w:lastRenderedPageBreak/>
        <w:t>2</w:t>
      </w:r>
      <w:r>
        <w:tab/>
      </w:r>
      <w:r w:rsidR="00D321E3">
        <w:t xml:space="preserve">Probabilistic </w:t>
      </w:r>
      <w:proofErr w:type="spellStart"/>
      <w:r w:rsidR="00D321E3">
        <w:t>Modeling</w:t>
      </w:r>
      <w:proofErr w:type="spellEnd"/>
      <w:r w:rsidR="00D321E3">
        <w:t xml:space="preserve"> of Decisions</w:t>
      </w:r>
    </w:p>
    <w:p w:rsidR="00D321E3" w:rsidRPr="00D321E3" w:rsidRDefault="00D321E3" w:rsidP="00831C6C">
      <w:pPr>
        <w:pStyle w:val="berschrift2"/>
        <w:spacing w:before="0"/>
      </w:pPr>
      <w:r>
        <w:t>2.1</w:t>
      </w:r>
      <w:r>
        <w:tab/>
        <w:t xml:space="preserve">Maximum Entropy Probabilities of </w:t>
      </w:r>
      <w:proofErr w:type="spellStart"/>
      <w:r>
        <w:t>Wellpads</w:t>
      </w:r>
      <w:proofErr w:type="spellEnd"/>
    </w:p>
    <w:p w:rsidR="001D75B5" w:rsidRDefault="002F7BCE">
      <w:r>
        <w:t>Similar to the Nature Conservancy’s first efforts in 2010, we were interested in the form and distribution of future well pad activity as a starting point to understand the spatial and temporal pattern</w:t>
      </w:r>
      <w:r w:rsidR="00265691">
        <w:t>s of</w:t>
      </w:r>
      <w:r>
        <w:t xml:space="preserve"> Pennsylvania’s energy landscape related to shale gas (</w:t>
      </w:r>
      <w:r w:rsidR="00451337">
        <w:rPr>
          <w:smallCaps/>
        </w:rPr>
        <w:t>Johnson</w:t>
      </w:r>
      <w:r w:rsidR="00356F5D">
        <w:t xml:space="preserve"> </w:t>
      </w:r>
      <w:r>
        <w:t xml:space="preserve">2010). We used the same software and techniques applied by </w:t>
      </w:r>
      <w:r w:rsidR="00451337">
        <w:rPr>
          <w:smallCaps/>
        </w:rPr>
        <w:t>Johnson</w:t>
      </w:r>
      <w:r>
        <w:t xml:space="preserve"> and colleagues (</w:t>
      </w:r>
      <w:r w:rsidR="00451337">
        <w:rPr>
          <w:smallCaps/>
        </w:rPr>
        <w:t>Johnson</w:t>
      </w:r>
      <w:r w:rsidR="00356F5D">
        <w:t xml:space="preserve"> </w:t>
      </w:r>
      <w:r>
        <w:t>2010),</w:t>
      </w:r>
      <w:r w:rsidR="00265691">
        <w:t xml:space="preserve"> </w:t>
      </w:r>
      <w:r w:rsidR="00265691" w:rsidRPr="001E0999">
        <w:t>i.</w:t>
      </w:r>
      <w:r w:rsidR="00555E7D" w:rsidRPr="001E0999">
        <w:t> </w:t>
      </w:r>
      <w:r w:rsidR="00265691" w:rsidRPr="001E0999">
        <w:t>e</w:t>
      </w:r>
      <w:r w:rsidR="00265691">
        <w:rPr>
          <w:i/>
        </w:rPr>
        <w:t>.,</w:t>
      </w:r>
      <w:r>
        <w:t xml:space="preserve"> a machine based learning </w:t>
      </w:r>
      <w:r w:rsidR="0033441B">
        <w:t>modelling approach known as maximum entropy. Maximum entropy (</w:t>
      </w:r>
      <w:proofErr w:type="spellStart"/>
      <w:r w:rsidR="0033441B">
        <w:t>MaxEnt</w:t>
      </w:r>
      <w:proofErr w:type="spellEnd"/>
      <w:r w:rsidR="0033441B">
        <w:t xml:space="preserve"> 3.3.3k) was used to study the relationships between 4085 observations (reported unconventional permits as of 8/2014) and a variety of environmental variables, including: </w:t>
      </w:r>
      <w:r w:rsidR="0033441B" w:rsidRPr="0033441B">
        <w:rPr>
          <w:i/>
        </w:rPr>
        <w:t xml:space="preserve">distance to roads, depth of Marcellus, thickness of Marcellus, slope, distance to pipeline protected natural area </w:t>
      </w:r>
      <w:r w:rsidR="0033441B" w:rsidRPr="0033441B">
        <w:t>and</w:t>
      </w:r>
      <w:r w:rsidR="0033441B" w:rsidRPr="0033441B">
        <w:rPr>
          <w:i/>
        </w:rPr>
        <w:t xml:space="preserve"> water</w:t>
      </w:r>
      <w:r w:rsidR="0033441B">
        <w:t xml:space="preserve">. Additional variables like current </w:t>
      </w:r>
      <w:proofErr w:type="spellStart"/>
      <w:r w:rsidR="0033441B">
        <w:t>landuse</w:t>
      </w:r>
      <w:proofErr w:type="spellEnd"/>
      <w:r w:rsidR="0033441B">
        <w:t xml:space="preserve"> were added to the model, but are not discussed in detail here. </w:t>
      </w:r>
    </w:p>
    <w:p w:rsidR="00D42FC7" w:rsidRDefault="00265691" w:rsidP="00A74A15">
      <w:pPr>
        <w:spacing w:after="360"/>
      </w:pPr>
      <w:r>
        <w:t xml:space="preserve">In another paper we will look closely at how selected variables and parameters influence the outcomes. </w:t>
      </w:r>
      <w:r w:rsidR="0033441B">
        <w:t xml:space="preserve">For purposes of this paper, we </w:t>
      </w:r>
      <w:r w:rsidR="001D75B5">
        <w:t>discuss</w:t>
      </w:r>
      <w:r w:rsidR="0033441B">
        <w:t xml:space="preserve"> seven variables </w:t>
      </w:r>
      <w:r w:rsidR="001D75B5">
        <w:t>detailed</w:t>
      </w:r>
      <w:r w:rsidR="0033441B">
        <w:t xml:space="preserve"> above and shown in Table 1.</w:t>
      </w:r>
      <w:r w:rsidR="00E30AB0">
        <w:t xml:space="preserve"> The model results shown in the table illustrate the contribution of each variable, thereby indicating what variables </w:t>
      </w:r>
      <w:r w:rsidR="00D37808">
        <w:t>influence the overall probability distribution for</w:t>
      </w:r>
      <w:r w:rsidR="006D494A">
        <w:t xml:space="preserve"> potential future occurrences (F</w:t>
      </w:r>
      <w:r w:rsidR="00D37808">
        <w:t>igure 1). From our first run, distance to roads along with depth of the Marcellus and thickness of the Marcellus proved to be the most influential variables (positively correlated).</w:t>
      </w:r>
    </w:p>
    <w:tbl>
      <w:tblPr>
        <w:tblW w:w="7371" w:type="dxa"/>
        <w:jc w:val="center"/>
        <w:tblCellMar>
          <w:left w:w="0" w:type="dxa"/>
          <w:right w:w="0" w:type="dxa"/>
        </w:tblCellMar>
        <w:tblLook w:val="0000" w:firstRow="0" w:lastRow="0" w:firstColumn="0" w:lastColumn="0" w:noHBand="0" w:noVBand="0"/>
      </w:tblPr>
      <w:tblGrid>
        <w:gridCol w:w="3696"/>
        <w:gridCol w:w="3675"/>
      </w:tblGrid>
      <w:tr w:rsidR="0010263C" w:rsidTr="00F51652">
        <w:trPr>
          <w:jc w:val="center"/>
        </w:trPr>
        <w:tc>
          <w:tcPr>
            <w:tcW w:w="3696" w:type="dxa"/>
          </w:tcPr>
          <w:p w:rsidR="0010263C" w:rsidRDefault="00BE06C7" w:rsidP="0010263C">
            <w:pPr>
              <w:pStyle w:val="bodytext"/>
              <w:spacing w:before="0" w:beforeAutospacing="0" w:after="0" w:afterAutospacing="0"/>
              <w:jc w:val="both"/>
              <w:rPr>
                <w:sz w:val="20"/>
                <w:szCs w:val="20"/>
              </w:rPr>
            </w:pPr>
            <w:r>
              <w:rPr>
                <w:noProof/>
              </w:rPr>
              <w:drawing>
                <wp:inline distT="0" distB="0" distL="0" distR="0">
                  <wp:extent cx="2167255" cy="2689860"/>
                  <wp:effectExtent l="0" t="0" r="0" b="0"/>
                  <wp:docPr id="4" name="Bild 1" descr="2015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proj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l="53662"/>
                          <a:stretch>
                            <a:fillRect/>
                          </a:stretch>
                        </pic:blipFill>
                        <pic:spPr bwMode="auto">
                          <a:xfrm>
                            <a:off x="0" y="0"/>
                            <a:ext cx="2167255" cy="2689860"/>
                          </a:xfrm>
                          <a:prstGeom prst="rect">
                            <a:avLst/>
                          </a:prstGeom>
                          <a:noFill/>
                          <a:ln>
                            <a:noFill/>
                          </a:ln>
                        </pic:spPr>
                      </pic:pic>
                    </a:graphicData>
                  </a:graphic>
                </wp:inline>
              </w:drawing>
            </w:r>
          </w:p>
        </w:tc>
        <w:tc>
          <w:tcPr>
            <w:tcW w:w="3675" w:type="dxa"/>
            <w:vAlign w:val="bottom"/>
          </w:tcPr>
          <w:p w:rsidR="0010263C" w:rsidRPr="00A73669" w:rsidRDefault="00A74A15" w:rsidP="0010263C">
            <w:pPr>
              <w:pStyle w:val="JBAbbunterschrift"/>
              <w:tabs>
                <w:tab w:val="left" w:pos="851"/>
              </w:tabs>
              <w:spacing w:before="0" w:after="0"/>
              <w:rPr>
                <w:b/>
                <w:bCs/>
                <w:i w:val="0"/>
                <w:iCs/>
                <w:lang w:val="en-GB"/>
              </w:rPr>
            </w:pPr>
            <w:r w:rsidRPr="00A73669">
              <w:rPr>
                <w:b/>
                <w:bCs/>
                <w:i w:val="0"/>
                <w:iCs/>
                <w:lang w:val="en-GB"/>
              </w:rPr>
              <w:t>Fig. 1:</w:t>
            </w:r>
          </w:p>
          <w:p w:rsidR="00A74A15" w:rsidRPr="00A74A15" w:rsidRDefault="00A74A15" w:rsidP="00A74A15">
            <w:pPr>
              <w:spacing w:after="0"/>
              <w:rPr>
                <w:b/>
                <w:bCs/>
                <w:i/>
                <w:iCs/>
                <w:lang w:val="en-US"/>
              </w:rPr>
            </w:pPr>
            <w:r w:rsidRPr="00A74A15">
              <w:rPr>
                <w:lang w:val="en-US"/>
              </w:rPr>
              <w:t>Probability distribution map of the first run model with white dots representing the 4085 observations used to derive the model and probabilities for future activities</w:t>
            </w:r>
          </w:p>
        </w:tc>
      </w:tr>
    </w:tbl>
    <w:p w:rsidR="001D75B5" w:rsidRDefault="00D37808" w:rsidP="00F7314C">
      <w:pPr>
        <w:widowControl w:val="0"/>
        <w:spacing w:before="360"/>
      </w:pPr>
      <w:r>
        <w:t>We are developing methods to better test the efficacy of the model and will continue to work on those, but some clear patterns emerge</w:t>
      </w:r>
      <w:r w:rsidR="001D75B5">
        <w:t>d</w:t>
      </w:r>
      <w:r>
        <w:t xml:space="preserve">. Natural areas, while not contributing a great percentage for influencing overall future activities is only </w:t>
      </w:r>
      <w:r w:rsidR="00F419C5">
        <w:t>considered ‘non-con</w:t>
      </w:r>
      <w:r w:rsidR="00E324B6">
        <w:softHyphen/>
      </w:r>
      <w:r w:rsidR="00F419C5">
        <w:t xml:space="preserve">tributing’ because </w:t>
      </w:r>
      <w:r>
        <w:t xml:space="preserve">a small percentage </w:t>
      </w:r>
      <w:r w:rsidR="00F419C5">
        <w:t>of the entire study area</w:t>
      </w:r>
      <w:r>
        <w:t xml:space="preserve"> </w:t>
      </w:r>
      <w:r w:rsidR="00F419C5">
        <w:t xml:space="preserve">is defined as </w:t>
      </w:r>
      <w:r w:rsidR="00F419C5" w:rsidRPr="00F419C5">
        <w:rPr>
          <w:i/>
        </w:rPr>
        <w:t>Natural areas</w:t>
      </w:r>
      <w:r w:rsidR="00F419C5">
        <w:rPr>
          <w:i/>
        </w:rPr>
        <w:t xml:space="preserve">. </w:t>
      </w:r>
      <w:r w:rsidR="00F419C5">
        <w:t>These areas are protected</w:t>
      </w:r>
      <w:r>
        <w:t xml:space="preserve"> from future activities through federal or state regulations</w:t>
      </w:r>
      <w:r w:rsidR="00F419C5">
        <w:t xml:space="preserve"> and may not appear to be </w:t>
      </w:r>
      <w:r w:rsidR="00F419C5">
        <w:lastRenderedPageBreak/>
        <w:t>significant t</w:t>
      </w:r>
      <w:r w:rsidR="001D75B5">
        <w:t>o the model as a whole, but are</w:t>
      </w:r>
      <w:r w:rsidR="00F419C5">
        <w:t xml:space="preserve"> reliable predictors</w:t>
      </w:r>
      <w:r w:rsidR="001D75B5">
        <w:t xml:space="preserve"> of future activity</w:t>
      </w:r>
      <w:r>
        <w:t xml:space="preserve">. </w:t>
      </w:r>
      <w:r w:rsidR="00F419C5">
        <w:t>What we are learning is that</w:t>
      </w:r>
      <w:r>
        <w:t xml:space="preserve"> some variables may not contribute </w:t>
      </w:r>
      <w:r w:rsidR="006E1503">
        <w:t xml:space="preserve">a large percentage to the overall model, </w:t>
      </w:r>
      <w:r w:rsidR="00F419C5">
        <w:t>but</w:t>
      </w:r>
      <w:r w:rsidR="006E1503">
        <w:t xml:space="preserve"> are essential for modelling representative surfaces</w:t>
      </w:r>
      <w:r w:rsidR="00F419C5">
        <w:t>, because of their reliability</w:t>
      </w:r>
      <w:r w:rsidR="006E1503">
        <w:t>.</w:t>
      </w:r>
      <w:r w:rsidR="001D75B5">
        <w:t xml:space="preserve"> The opposite consideration</w:t>
      </w:r>
      <w:r w:rsidR="00F419C5">
        <w:t xml:space="preserve"> </w:t>
      </w:r>
      <w:r w:rsidR="001D75B5">
        <w:t>is</w:t>
      </w:r>
      <w:r w:rsidR="00F419C5">
        <w:t xml:space="preserve"> also important. </w:t>
      </w:r>
      <w:r w:rsidR="00F419C5" w:rsidRPr="00F419C5">
        <w:rPr>
          <w:i/>
        </w:rPr>
        <w:t>D</w:t>
      </w:r>
      <w:r w:rsidR="006E1503" w:rsidRPr="00F419C5">
        <w:rPr>
          <w:i/>
        </w:rPr>
        <w:t>istance to roads</w:t>
      </w:r>
      <w:r w:rsidR="006E1503">
        <w:t xml:space="preserve"> </w:t>
      </w:r>
      <w:r w:rsidR="00265691">
        <w:t>is influential</w:t>
      </w:r>
      <w:r w:rsidR="006E1503">
        <w:t xml:space="preserve"> largely due to the ubiquitous distribution of roads in Pennsylvania. </w:t>
      </w:r>
      <w:r w:rsidR="001D75B5">
        <w:t xml:space="preserve">Simply, roads are essential to the model, but not reliable predictors on their own. </w:t>
      </w:r>
      <w:r w:rsidR="006E1503">
        <w:t>Finally, the two factors most significantly contributing to the probability of future activities both spatially and statistically were the thickness of Marcellus and depth of Marcellus. This most likely reflects a profit optimization model</w:t>
      </w:r>
      <w:r w:rsidR="00F419C5">
        <w:t xml:space="preserve"> driven by industry and associated with</w:t>
      </w:r>
      <w:r w:rsidR="006E1503">
        <w:t xml:space="preserve"> the high costs </w:t>
      </w:r>
      <w:r w:rsidR="00F419C5">
        <w:t>of</w:t>
      </w:r>
      <w:r w:rsidR="006E1503">
        <w:t xml:space="preserve"> fracking (</w:t>
      </w:r>
      <w:r w:rsidR="00451337">
        <w:rPr>
          <w:smallCaps/>
        </w:rPr>
        <w:t>Murtha</w:t>
      </w:r>
      <w:r w:rsidR="00831C6C">
        <w:rPr>
          <w:smallCaps/>
        </w:rPr>
        <w:t xml:space="preserve"> &amp;</w:t>
      </w:r>
      <w:r w:rsidR="006E1503">
        <w:t xml:space="preserve"> </w:t>
      </w:r>
      <w:r w:rsidR="00451337">
        <w:rPr>
          <w:smallCaps/>
        </w:rPr>
        <w:t>Orland</w:t>
      </w:r>
      <w:r w:rsidR="006E1503">
        <w:t>2014).</w:t>
      </w:r>
    </w:p>
    <w:p w:rsidR="00831C6C" w:rsidRDefault="00831C6C" w:rsidP="00F7314C">
      <w:pPr>
        <w:pStyle w:val="Tableheading"/>
      </w:pPr>
      <w:r w:rsidRPr="00F7314C">
        <w:rPr>
          <w:b/>
        </w:rPr>
        <w:t>Table 1:</w:t>
      </w:r>
      <w:r w:rsidRPr="00F7314C">
        <w:rPr>
          <w:b/>
        </w:rPr>
        <w:tab/>
      </w:r>
      <w:r w:rsidRPr="00F7314C">
        <w:t>Percent</w:t>
      </w:r>
      <w:r w:rsidRPr="00831C6C">
        <w:t xml:space="preserve"> contribution of each variable for the annual iterative model and cumulative, 2014 </w:t>
      </w:r>
      <w:proofErr w:type="spellStart"/>
      <w:r w:rsidRPr="00831C6C">
        <w:t>MaxEnt</w:t>
      </w:r>
      <w:proofErr w:type="spellEnd"/>
      <w:r w:rsidRPr="00831C6C">
        <w:t xml:space="preserve"> model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975"/>
        <w:gridCol w:w="975"/>
        <w:gridCol w:w="975"/>
        <w:gridCol w:w="975"/>
        <w:gridCol w:w="975"/>
        <w:gridCol w:w="1131"/>
      </w:tblGrid>
      <w:tr w:rsidR="001D75B5" w:rsidRPr="00F81173" w:rsidTr="00831C6C">
        <w:trPr>
          <w:jc w:val="center"/>
        </w:trPr>
        <w:tc>
          <w:tcPr>
            <w:tcW w:w="1365" w:type="dxa"/>
            <w:shd w:val="clear" w:color="auto" w:fill="DDDDDD"/>
          </w:tcPr>
          <w:p w:rsidR="001D75B5" w:rsidRPr="00831C6C" w:rsidRDefault="001D75B5" w:rsidP="00187391">
            <w:pPr>
              <w:spacing w:before="14" w:after="14"/>
              <w:jc w:val="left"/>
              <w:rPr>
                <w:b/>
                <w:sz w:val="18"/>
                <w:szCs w:val="18"/>
              </w:rPr>
            </w:pPr>
            <w:r w:rsidRPr="00831C6C">
              <w:rPr>
                <w:b/>
                <w:sz w:val="18"/>
                <w:szCs w:val="18"/>
              </w:rPr>
              <w:t>Variable</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2009 %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2010 %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2011 %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2012 %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2013 % </w:t>
            </w:r>
          </w:p>
        </w:tc>
        <w:tc>
          <w:tcPr>
            <w:tcW w:w="1131"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2014 % </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Roads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34.7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36.3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38.4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37.4</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38.1</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Depth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20.8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26.2</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30.3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35.4</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Thickness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18.3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16.2</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16.2</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Slope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12.7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6.7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4.7</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Pipeline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8.9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5.9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3.1</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2.9</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Protected Natural Area</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1.9</w:t>
            </w:r>
          </w:p>
        </w:tc>
      </w:tr>
      <w:tr w:rsidR="001D75B5" w:rsidTr="00831C6C">
        <w:trPr>
          <w:jc w:val="center"/>
        </w:trPr>
        <w:tc>
          <w:tcPr>
            <w:tcW w:w="1365" w:type="dxa"/>
            <w:tcBorders>
              <w:bottom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Water or Water Body</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0.6</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w:t>
            </w:r>
          </w:p>
        </w:tc>
        <w:tc>
          <w:tcPr>
            <w:tcW w:w="1131"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0.9</w:t>
            </w:r>
          </w:p>
        </w:tc>
      </w:tr>
      <w:tr w:rsidR="001D75B5" w:rsidTr="00831C6C">
        <w:trPr>
          <w:jc w:val="center"/>
        </w:trPr>
        <w:tc>
          <w:tcPr>
            <w:tcW w:w="1365" w:type="dxa"/>
            <w:tcBorders>
              <w:top w:val="single" w:sz="4" w:space="0" w:color="auto"/>
              <w:left w:val="single" w:sz="4" w:space="0" w:color="auto"/>
              <w:bottom w:val="single" w:sz="4" w:space="0" w:color="auto"/>
              <w:right w:val="nil"/>
            </w:tcBorders>
            <w:shd w:val="clear" w:color="auto" w:fill="auto"/>
          </w:tcPr>
          <w:p w:rsidR="001D75B5" w:rsidRPr="00831C6C" w:rsidRDefault="001D75B5" w:rsidP="00187391">
            <w:pPr>
              <w:spacing w:before="14" w:after="14"/>
              <w:jc w:val="left"/>
              <w:rPr>
                <w:b/>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1131" w:type="dxa"/>
            <w:tcBorders>
              <w:top w:val="single" w:sz="4" w:space="0" w:color="auto"/>
              <w:left w:val="nil"/>
              <w:bottom w:val="single" w:sz="4" w:space="0" w:color="auto"/>
              <w:right w:val="single" w:sz="4" w:space="0" w:color="auto"/>
            </w:tcBorders>
            <w:shd w:val="clear" w:color="auto" w:fill="auto"/>
          </w:tcPr>
          <w:p w:rsidR="001D75B5" w:rsidRPr="00831C6C" w:rsidRDefault="001D75B5" w:rsidP="00187391">
            <w:pPr>
              <w:spacing w:before="14" w:after="14"/>
              <w:rPr>
                <w:sz w:val="18"/>
                <w:szCs w:val="18"/>
              </w:rPr>
            </w:pPr>
          </w:p>
        </w:tc>
      </w:tr>
      <w:tr w:rsidR="001D75B5" w:rsidRPr="00265691" w:rsidTr="00831C6C">
        <w:trPr>
          <w:jc w:val="center"/>
        </w:trPr>
        <w:tc>
          <w:tcPr>
            <w:tcW w:w="1365" w:type="dxa"/>
            <w:tcBorders>
              <w:top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Observations</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1166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2006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2769</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3352</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3992</w:t>
            </w:r>
          </w:p>
        </w:tc>
        <w:tc>
          <w:tcPr>
            <w:tcW w:w="1131"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4085</w:t>
            </w:r>
          </w:p>
        </w:tc>
      </w:tr>
    </w:tbl>
    <w:p w:rsidR="0033441B" w:rsidRDefault="00E30AB0" w:rsidP="00F7314C">
      <w:pPr>
        <w:pStyle w:val="Paragraphaftertables"/>
      </w:pPr>
      <w:r>
        <w:t>Our first run included all of the permitted well pads as o</w:t>
      </w:r>
      <w:r w:rsidR="006E1503">
        <w:t>f 8/2014 or 4085 observations. However, i</w:t>
      </w:r>
      <w:r>
        <w:t xml:space="preserve">n our community work, we noticed a change in pace of activities throughout the region, </w:t>
      </w:r>
      <w:r w:rsidR="00265691">
        <w:t>influenced by</w:t>
      </w:r>
      <w:r>
        <w:t xml:space="preserve"> a substantial decrease in the price of gas on a global scale between 2009 and 2014.</w:t>
      </w:r>
      <w:r w:rsidR="006E1503">
        <w:t xml:space="preserve"> Because of those changes we wanted to test whether the market conditions would influence our first run model. To account for that we assumed that annual permit activity could account for changes in the spatial decision-making by companies, again reflecting a profit optimization model. The results of the iterative model are presented in table 1 and illustrate no fundamental difference between the 2009 model with only 1166 permit observations and the 2014 model with 4085 permit observations. This is a critical area we are now exploring through alternative modelling scenarios.</w:t>
      </w:r>
      <w:r w:rsidR="00265691">
        <w:t xml:space="preserve"> Either permitting doesn’t capture the market fluctuations or interim fluctuations in price do not have short term impacts on permitting activities. Additionally, in future work we plan to engineer a smarter probabilistic model that treats permit observations as specific events </w:t>
      </w:r>
      <w:r w:rsidR="001D75B5">
        <w:t xml:space="preserve">in time </w:t>
      </w:r>
      <w:r w:rsidR="00265691">
        <w:t>and not only separated by year.</w:t>
      </w:r>
    </w:p>
    <w:p w:rsidR="001D75B5" w:rsidRDefault="00265691" w:rsidP="000E2832">
      <w:r>
        <w:t>These model outputs only provide</w:t>
      </w:r>
      <w:r w:rsidR="006E1503">
        <w:t xml:space="preserve"> us with probabilities of future activities and</w:t>
      </w:r>
      <w:r>
        <w:t xml:space="preserve"> are</w:t>
      </w:r>
      <w:r w:rsidR="006E1503">
        <w:t xml:space="preserve"> not necessarily scaled to the extraction methods and techniques. To translate the probabilities into meaningful </w:t>
      </w:r>
      <w:r>
        <w:t xml:space="preserve">landscape </w:t>
      </w:r>
      <w:r w:rsidR="006E1503">
        <w:t>information, we relied on estimates developed by the Nature Conserv</w:t>
      </w:r>
      <w:r w:rsidR="006E1503">
        <w:lastRenderedPageBreak/>
        <w:t>ancy (2010), who estimated that 60,000 new wells would be drilled by the year 2030</w:t>
      </w:r>
      <w:r>
        <w:t xml:space="preserve"> in Pennsylvania</w:t>
      </w:r>
      <w:r w:rsidR="006E1503">
        <w:t>. Because of the complexity involved with horizontal drilling, we also had to estimate how many wells would be drilled per well pad</w:t>
      </w:r>
      <w:r w:rsidR="00435F62">
        <w:t>. In 2010 the average number of wells per pad was two, but each well pad can support a number of wells and can also extract gas from 80 to 170 acres (</w:t>
      </w:r>
      <w:r w:rsidR="00451337">
        <w:rPr>
          <w:smallCaps/>
        </w:rPr>
        <w:t>Johnson</w:t>
      </w:r>
      <w:r w:rsidR="00356F5D">
        <w:t xml:space="preserve"> </w:t>
      </w:r>
      <w:r w:rsidR="00435F62">
        <w:t xml:space="preserve">2010). Here again, because we are far more interested in projecting sub-regional patterns of future activities, we relied on three scaled estimates developed in 2010. The </w:t>
      </w:r>
      <w:r w:rsidR="00435F62" w:rsidRPr="00435F62">
        <w:rPr>
          <w:i/>
        </w:rPr>
        <w:t>low impact</w:t>
      </w:r>
      <w:r w:rsidR="00435F62">
        <w:t xml:space="preserve"> model called for 6,000 well pads with10 wells per pad and pads spaced 5,250 ft apart. The </w:t>
      </w:r>
      <w:r w:rsidR="00435F62" w:rsidRPr="00435F62">
        <w:rPr>
          <w:i/>
        </w:rPr>
        <w:t>medium impact</w:t>
      </w:r>
      <w:r w:rsidR="00435F62">
        <w:t xml:space="preserve"> scenario called for 10,000 well pads with 6 wells per pad and pads spaced 4,100 ft apart. The high impact scenario called for 15,000 well pads with 4 wells per well pad and pads spaced 3,350 ft apart. For comparative purposes these are the exact same </w:t>
      </w:r>
      <w:r w:rsidR="001D75B5">
        <w:t>scenarios</w:t>
      </w:r>
      <w:r w:rsidR="00435F62">
        <w:t xml:space="preserve"> used in 2010 (</w:t>
      </w:r>
      <w:r w:rsidR="00451337">
        <w:rPr>
          <w:smallCaps/>
        </w:rPr>
        <w:t>Johnson</w:t>
      </w:r>
      <w:r w:rsidR="00356F5D">
        <w:t xml:space="preserve"> </w:t>
      </w:r>
      <w:r w:rsidR="00831C6C">
        <w:t xml:space="preserve">2010, </w:t>
      </w:r>
      <w:r w:rsidR="00435F62">
        <w:t>12).</w:t>
      </w:r>
    </w:p>
    <w:p w:rsidR="001D75B5" w:rsidRDefault="00BE06C7" w:rsidP="000E2832">
      <w:pPr>
        <w:pStyle w:val="Graphics"/>
      </w:pPr>
      <w:r w:rsidRPr="000E2832">
        <w:rPr>
          <w:noProof/>
          <w:lang w:val="de-DE"/>
        </w:rPr>
        <w:drawing>
          <wp:inline distT="0" distB="0" distL="0" distR="0">
            <wp:extent cx="3823970" cy="2381250"/>
            <wp:effectExtent l="0" t="0" r="0" b="0"/>
            <wp:docPr id="2" name="Bild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9">
                      <a:extLst>
                        <a:ext uri="{28A0092B-C50C-407E-A947-70E740481C1C}">
                          <a14:useLocalDpi xmlns:a14="http://schemas.microsoft.com/office/drawing/2010/main" val="0"/>
                        </a:ext>
                      </a:extLst>
                    </a:blip>
                    <a:srcRect l="4353" t="11043"/>
                    <a:stretch>
                      <a:fillRect/>
                    </a:stretch>
                  </pic:blipFill>
                  <pic:spPr bwMode="auto">
                    <a:xfrm>
                      <a:off x="0" y="0"/>
                      <a:ext cx="3823970" cy="2381250"/>
                    </a:xfrm>
                    <a:prstGeom prst="rect">
                      <a:avLst/>
                    </a:prstGeom>
                    <a:noFill/>
                    <a:ln>
                      <a:noFill/>
                    </a:ln>
                  </pic:spPr>
                </pic:pic>
              </a:graphicData>
            </a:graphic>
          </wp:inline>
        </w:drawing>
      </w:r>
    </w:p>
    <w:p w:rsidR="001D75B5" w:rsidRPr="00230863" w:rsidRDefault="001D75B5" w:rsidP="00357CE2">
      <w:pPr>
        <w:pStyle w:val="Graphicssub-text"/>
      </w:pPr>
      <w:r w:rsidRPr="00230863">
        <w:rPr>
          <w:b/>
        </w:rPr>
        <w:t>Fig. 2:</w:t>
      </w:r>
      <w:r w:rsidR="00230863">
        <w:tab/>
      </w:r>
      <w:r w:rsidRPr="00230863">
        <w:t>Mean probabilities for the high impact model were calculated for each of the sub-basins (</w:t>
      </w:r>
      <w:r w:rsidRPr="00357CE2">
        <w:t>small</w:t>
      </w:r>
      <w:r w:rsidRPr="00230863">
        <w:t xml:space="preserve"> watersheds) that intersect w</w:t>
      </w:r>
      <w:r w:rsidR="00831C6C" w:rsidRPr="00230863">
        <w:t>ith the Marcellus shale deposit</w:t>
      </w:r>
    </w:p>
    <w:p w:rsidR="00435F62" w:rsidRDefault="00435F62" w:rsidP="00831C6C">
      <w:pPr>
        <w:spacing w:after="100"/>
      </w:pPr>
      <w:r>
        <w:t xml:space="preserve">Having established three scenarios we resampled the probability map into three new resolutions, 5250 ft, 4100 ft and 3350 ft. We then selected the number of well pads from the highest probable locations. For </w:t>
      </w:r>
      <w:proofErr w:type="gramStart"/>
      <w:r>
        <w:t>example</w:t>
      </w:r>
      <w:proofErr w:type="gramEnd"/>
      <w:r>
        <w:t xml:space="preserve"> for the low impact model we selected the 6</w:t>
      </w:r>
      <w:r w:rsidR="0072477E">
        <w:t xml:space="preserve">,000 highest probability pixels. We also summarized the probabilities by </w:t>
      </w:r>
      <w:r w:rsidR="001D75B5">
        <w:t xml:space="preserve">watershed </w:t>
      </w:r>
      <w:r w:rsidR="006D494A">
        <w:t>sub-basin (F</w:t>
      </w:r>
      <w:r w:rsidR="0072477E">
        <w:t>igure 2).</w:t>
      </w:r>
    </w:p>
    <w:p w:rsidR="00D321E3" w:rsidRDefault="00D321E3" w:rsidP="00E324B6">
      <w:pPr>
        <w:spacing w:after="0"/>
      </w:pPr>
      <w:r>
        <w:t>From a large landscape scale, the summary model by sub-basin</w:t>
      </w:r>
      <w:r w:rsidR="00265691">
        <w:t xml:space="preserve"> (or small watershed)</w:t>
      </w:r>
      <w:r>
        <w:t xml:space="preserve"> </w:t>
      </w:r>
      <w:r w:rsidR="00E324B6">
        <w:br/>
      </w:r>
      <w:r>
        <w:t xml:space="preserve">allowed us to </w:t>
      </w:r>
      <w:r w:rsidR="00265691">
        <w:t xml:space="preserve">better </w:t>
      </w:r>
      <w:r>
        <w:t xml:space="preserve">consider important local and community issues quickly by comparing the potential for future activities to basic attributes of each </w:t>
      </w:r>
      <w:r w:rsidR="00265691">
        <w:t xml:space="preserve">small </w:t>
      </w:r>
      <w:r>
        <w:t>sub-basin, such as amount of roads</w:t>
      </w:r>
      <w:r w:rsidR="00265691">
        <w:t xml:space="preserve">, streams and </w:t>
      </w:r>
      <w:proofErr w:type="spellStart"/>
      <w:r w:rsidR="00265691">
        <w:t>welands</w:t>
      </w:r>
      <w:proofErr w:type="spellEnd"/>
      <w:r>
        <w:t xml:space="preserve">, which are </w:t>
      </w:r>
      <w:r w:rsidR="00265691">
        <w:t>all potentially impacted by these activities</w:t>
      </w:r>
      <w:r>
        <w:t xml:space="preserve">. Simply, </w:t>
      </w:r>
      <w:r w:rsidR="00265691">
        <w:t xml:space="preserve">from a </w:t>
      </w:r>
      <w:proofErr w:type="spellStart"/>
      <w:r w:rsidR="00265691">
        <w:t>statewide</w:t>
      </w:r>
      <w:proofErr w:type="spellEnd"/>
      <w:r w:rsidR="00265691">
        <w:t xml:space="preserve"> perspective specific locations were not necessarily useful for design and planning, but when relying on summaries we could identify key regions and sub-regions for focused work. So, even </w:t>
      </w:r>
      <w:r>
        <w:t xml:space="preserve">just relying on some summary and comparative analyses </w:t>
      </w:r>
      <w:r w:rsidR="00A24B5B">
        <w:t>we were</w:t>
      </w:r>
      <w:r>
        <w:t xml:space="preserve"> already able to isolate areas of importance and areas that showed signs of potential impact. </w:t>
      </w:r>
      <w:r w:rsidR="00A24B5B">
        <w:t>In fact, we developed several story maps to illustrate these areas (see: http://marcellusbydesign.</w:t>
      </w:r>
      <w:r w:rsidR="00E324B6">
        <w:t xml:space="preserve"> </w:t>
      </w:r>
      <w:r w:rsidR="00A24B5B">
        <w:t>psu.edu). Importantly, the first run models</w:t>
      </w:r>
      <w:r>
        <w:t xml:space="preserve"> provide an entry point to formally model broader impacts of these activities, e.</w:t>
      </w:r>
      <w:r w:rsidR="00555E7D">
        <w:t> </w:t>
      </w:r>
      <w:r>
        <w:t xml:space="preserve">g. pipeline and infrastructure development. </w:t>
      </w:r>
      <w:r w:rsidR="00A24B5B">
        <w:t>While there</w:t>
      </w:r>
      <w:r>
        <w:t xml:space="preserve"> </w:t>
      </w:r>
      <w:r>
        <w:lastRenderedPageBreak/>
        <w:t xml:space="preserve">are reliable estimates indicating </w:t>
      </w:r>
      <w:r w:rsidR="00CD5F25">
        <w:t>that a single well pad directly and indirectly impacts 30 acres of habitat. The well pad is just 10% of that total, infrastructure provides another 20</w:t>
      </w:r>
      <w:r w:rsidR="00E324B6">
        <w:t xml:space="preserve"> </w:t>
      </w:r>
      <w:r w:rsidR="00CD5F25">
        <w:t>% and roughly 70</w:t>
      </w:r>
      <w:r w:rsidR="00E324B6">
        <w:t xml:space="preserve"> </w:t>
      </w:r>
      <w:r w:rsidR="00CD5F25">
        <w:t>% are associated with indirect impacts (</w:t>
      </w:r>
      <w:r w:rsidR="00451337">
        <w:rPr>
          <w:smallCaps/>
        </w:rPr>
        <w:t>Johnson</w:t>
      </w:r>
      <w:r w:rsidR="00356F5D">
        <w:t xml:space="preserve"> </w:t>
      </w:r>
      <w:r w:rsidR="00CD5F25">
        <w:t xml:space="preserve">2010). From a landscape perspective, </w:t>
      </w:r>
      <w:r w:rsidR="00A24B5B">
        <w:t>projecting the probable locations of</w:t>
      </w:r>
      <w:r w:rsidR="00CD5F25">
        <w:t xml:space="preserve"> those impacts </w:t>
      </w:r>
      <w:r w:rsidR="00A24B5B">
        <w:t>is</w:t>
      </w:r>
      <w:r w:rsidR="00CD5F25">
        <w:t xml:space="preserve"> critical </w:t>
      </w:r>
      <w:r w:rsidR="00A24B5B">
        <w:t>for design and planning projects</w:t>
      </w:r>
      <w:r w:rsidR="00CD5F25">
        <w:t>.</w:t>
      </w:r>
    </w:p>
    <w:p w:rsidR="00CD5F25" w:rsidRPr="00D321E3" w:rsidRDefault="00CD5F25" w:rsidP="000C5F4C">
      <w:pPr>
        <w:pStyle w:val="berschrift2"/>
      </w:pPr>
      <w:r>
        <w:t>2.2</w:t>
      </w:r>
      <w:r>
        <w:tab/>
        <w:t>Cost Distance Models for Pipelines</w:t>
      </w:r>
    </w:p>
    <w:p w:rsidR="00D42FC7" w:rsidRDefault="00CD5F25" w:rsidP="000E2832">
      <w:r>
        <w:t>Our next step in modelling was to develop spatially explicit projections about pipeline construction so that the gas extracted from well pads could get to market. Much of the recent discussion about pipelines in th</w:t>
      </w:r>
      <w:r w:rsidR="00AF5729">
        <w:t>e United States is focused on</w:t>
      </w:r>
      <w:r>
        <w:t xml:space="preserve"> large transmission pipelines, but for the Marcellus shale and other shale gas resources thousands of miles of gathering lines need to be constructed from each well pad to a compressor station adjacent to a major transmission line. The process for constructing the gathering lines is far less regulated than large transmission lines, so the purpose of our least cost models were </w:t>
      </w:r>
      <w:r w:rsidR="00AF5729">
        <w:t>to evaluate</w:t>
      </w:r>
      <w:r>
        <w:t xml:space="preserve"> </w:t>
      </w:r>
      <w:r w:rsidR="00AF5729">
        <w:t>several</w:t>
      </w:r>
      <w:r>
        <w:t xml:space="preserve"> scenarios for developing standards</w:t>
      </w:r>
      <w:r w:rsidR="00AF5729">
        <w:t xml:space="preserve"> or regulations</w:t>
      </w:r>
      <w:r>
        <w:t xml:space="preserve"> for protecting natural habitats, like wetlands and core forest.</w:t>
      </w:r>
    </w:p>
    <w:p w:rsidR="00CF0626" w:rsidRDefault="00BE06C7" w:rsidP="000E2832">
      <w:pPr>
        <w:pStyle w:val="Graphics"/>
      </w:pPr>
      <w:r>
        <w:rPr>
          <w:noProof/>
          <w:lang w:val="de-DE"/>
        </w:rPr>
        <w:drawing>
          <wp:inline distT="0" distB="0" distL="0" distR="0">
            <wp:extent cx="4667250" cy="2707640"/>
            <wp:effectExtent l="0" t="0" r="0" b="0"/>
            <wp:docPr id="3" name="Bild 3" descr="Screen Shot 2015-01-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1-15 a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707640"/>
                    </a:xfrm>
                    <a:prstGeom prst="rect">
                      <a:avLst/>
                    </a:prstGeom>
                    <a:noFill/>
                    <a:ln>
                      <a:noFill/>
                    </a:ln>
                  </pic:spPr>
                </pic:pic>
              </a:graphicData>
            </a:graphic>
          </wp:inline>
        </w:drawing>
      </w:r>
    </w:p>
    <w:p w:rsidR="00CF0626" w:rsidRDefault="00CF0626" w:rsidP="00357CE2">
      <w:pPr>
        <w:pStyle w:val="Graphicssub-text"/>
      </w:pPr>
      <w:r w:rsidRPr="00357CE2">
        <w:rPr>
          <w:b/>
        </w:rPr>
        <w:t>Fig. 3:</w:t>
      </w:r>
      <w:r>
        <w:tab/>
        <w:t xml:space="preserve">Comparison of two scenarios illustrating the impact of future drilling and quantifying the difference between a straight least cost model and one model that </w:t>
      </w:r>
      <w:r w:rsidRPr="00357CE2">
        <w:t>avoided</w:t>
      </w:r>
      <w:r>
        <w:t xml:space="preserve"> all wetlands by 200 ft. Overall, there was very little negative impact when buffering wetlands.</w:t>
      </w:r>
    </w:p>
    <w:p w:rsidR="00831C6C" w:rsidRDefault="00831C6C" w:rsidP="00831C6C">
      <w:r>
        <w:t>The cost distance models we developed were parameterized so that we could isolate the projected cumulative impact given a variety of regulatory scenarios. We started with connecting existing well pads and then connected projected well pads first through a least distance method and then forced the pipelines to avoid impor</w:t>
      </w:r>
      <w:r w:rsidR="00005497">
        <w:t>tant resources, like wetlands (F</w:t>
      </w:r>
      <w:r>
        <w:t xml:space="preserve">igure 3). </w:t>
      </w:r>
      <w:r>
        <w:lastRenderedPageBreak/>
        <w:t>Interestingly, protecting wetlands and other natural resources did not necessarily add substantial impact of or length to pipelines. This was an unexpected, but important outcome of the pipeline models.</w:t>
      </w:r>
    </w:p>
    <w:p w:rsidR="00A24B5B" w:rsidRDefault="00A24B5B" w:rsidP="00A24B5B">
      <w:pPr>
        <w:pStyle w:val="berschrift1"/>
      </w:pPr>
      <w:r>
        <w:t>3</w:t>
      </w:r>
      <w:r>
        <w:tab/>
        <w:t>Discussion</w:t>
      </w:r>
    </w:p>
    <w:p w:rsidR="00A24B5B" w:rsidRPr="00A24B5B" w:rsidRDefault="00A24B5B" w:rsidP="00A24B5B">
      <w:r>
        <w:t>While the initial purpose for developing the probabilistic and formal models described in the paper were to simply allow us to project with reasonable accuracy the future sub-regional patterns for landscape planning and design in the Marcellus region, we quickly recognized how valuable a broader application of probabilistic modelling in landscape design and planning projects could be. Moreover, we identified two key points of discussion:</w:t>
      </w:r>
    </w:p>
    <w:p w:rsidR="002068A9" w:rsidRDefault="002068A9" w:rsidP="00831C6C">
      <w:pPr>
        <w:numPr>
          <w:ilvl w:val="0"/>
          <w:numId w:val="14"/>
        </w:numPr>
        <w:ind w:left="357" w:hanging="357"/>
      </w:pPr>
      <w:r>
        <w:t>Outputs from probabilistic models need to be cautiously incorporated into the design and planning process at multiple scales.</w:t>
      </w:r>
    </w:p>
    <w:p w:rsidR="002068A9" w:rsidRDefault="002068A9" w:rsidP="00831C6C">
      <w:pPr>
        <w:numPr>
          <w:ilvl w:val="0"/>
          <w:numId w:val="14"/>
        </w:numPr>
        <w:ind w:left="357" w:hanging="357"/>
      </w:pPr>
      <w:r>
        <w:t xml:space="preserve">Like all useful analytical techniques, probabilistic models should be integrated within the design and planning process, iteratively. </w:t>
      </w:r>
    </w:p>
    <w:p w:rsidR="002068A9" w:rsidRDefault="002068A9">
      <w:r>
        <w:t>The outputs from the model provided some spatial awareness and patterning for activities, but need to be thoughtfully engaged as models to inform decision making. When we shared these projections with individuals and students, specific location of both well pads and pipelines became central considerations, instead of our intended outcome. Moreover, models can’t be simply run once and responded to by design at one specific scale. Summaries of information were valuable at a regional scale and more specific location and patterns were effective as we shifted from a state to a county or regional scale.</w:t>
      </w:r>
    </w:p>
    <w:p w:rsidR="002068A9" w:rsidRDefault="00A24B5B">
      <w:r>
        <w:t>We</w:t>
      </w:r>
      <w:r w:rsidR="002068A9">
        <w:t xml:space="preserve"> embraced modelling iteratively and are continuing to test and refine our assumptions.</w:t>
      </w:r>
      <w:r>
        <w:t xml:space="preserve"> One key needed area for improvement is to revisit the probabilistic modelling during the design and planning projects.</w:t>
      </w:r>
      <w:r w:rsidR="002068A9">
        <w:t xml:space="preserve"> </w:t>
      </w:r>
      <w:r w:rsidR="00D21700">
        <w:t>By doing so we will not only improve the models, but also better understand how to use these outputs in specific design projects</w:t>
      </w:r>
      <w:r w:rsidR="002068A9">
        <w:t>.</w:t>
      </w:r>
    </w:p>
    <w:p w:rsidR="00D42FC7" w:rsidRDefault="00187391">
      <w:pPr>
        <w:pStyle w:val="berschrift1"/>
      </w:pPr>
      <w:r>
        <w:t>4</w:t>
      </w:r>
      <w:r w:rsidR="00D42FC7">
        <w:tab/>
        <w:t>Conclusion and Outlook</w:t>
      </w:r>
    </w:p>
    <w:p w:rsidR="00980D48" w:rsidRDefault="00980D48" w:rsidP="00980D48">
      <w:r>
        <w:t xml:space="preserve">Formal probabilistic models aren't new to design and planning. In fact, they are commonly used by civil engineers, designers and planners for predicting urban storm water dynamics and influencing </w:t>
      </w:r>
      <w:proofErr w:type="spellStart"/>
      <w:r>
        <w:t>stormwater</w:t>
      </w:r>
      <w:proofErr w:type="spellEnd"/>
      <w:r>
        <w:t xml:space="preserve"> design and decision making (</w:t>
      </w:r>
      <w:r w:rsidR="00451337">
        <w:rPr>
          <w:smallCaps/>
        </w:rPr>
        <w:t xml:space="preserve">Adams </w:t>
      </w:r>
      <w:r>
        <w:t xml:space="preserve">and </w:t>
      </w:r>
      <w:r w:rsidR="00451337" w:rsidRPr="00837622">
        <w:rPr>
          <w:smallCaps/>
        </w:rPr>
        <w:t>Papa</w:t>
      </w:r>
      <w:r w:rsidR="00451337">
        <w:t xml:space="preserve"> </w:t>
      </w:r>
      <w:r>
        <w:t xml:space="preserve">2000). But beyond </w:t>
      </w:r>
      <w:proofErr w:type="spellStart"/>
      <w:r>
        <w:t>stormwater</w:t>
      </w:r>
      <w:proofErr w:type="spellEnd"/>
      <w:r>
        <w:t xml:space="preserve">, formal use of probabilistic models in design is fairly underrepresented. Due to the recent emergence of </w:t>
      </w:r>
      <w:proofErr w:type="spellStart"/>
      <w:r>
        <w:t>geodesign</w:t>
      </w:r>
      <w:proofErr w:type="spellEnd"/>
      <w:r>
        <w:t xml:space="preserve"> (</w:t>
      </w:r>
      <w:r w:rsidR="00451337">
        <w:rPr>
          <w:smallCaps/>
        </w:rPr>
        <w:t xml:space="preserve">Steinitz </w:t>
      </w:r>
      <w:r>
        <w:t>2012) and clear needs for complex systems thinking in sustainable design and planning (</w:t>
      </w:r>
      <w:r w:rsidR="00451337" w:rsidRPr="00837622">
        <w:rPr>
          <w:smallCaps/>
        </w:rPr>
        <w:t>Allen</w:t>
      </w:r>
      <w:r w:rsidR="00451337">
        <w:t xml:space="preserve"> et</w:t>
      </w:r>
      <w:r>
        <w:t xml:space="preserve"> al</w:t>
      </w:r>
      <w:r w:rsidR="00451337">
        <w:t>.</w:t>
      </w:r>
      <w:r>
        <w:t xml:space="preserve"> 2003), we believe that probabilistic </w:t>
      </w:r>
      <w:proofErr w:type="spellStart"/>
      <w:r>
        <w:t>modeling</w:t>
      </w:r>
      <w:proofErr w:type="spellEnd"/>
      <w:r>
        <w:t xml:space="preserve"> should be explored more broadly on a landscape scale. Especially in the context of complex systems thinking, we conclude that there are substantial benefits to applying these techniques. Simply, </w:t>
      </w:r>
      <w:proofErr w:type="spellStart"/>
      <w:r>
        <w:t>MaxEnt</w:t>
      </w:r>
      <w:proofErr w:type="spellEnd"/>
      <w:r>
        <w:t xml:space="preserve"> and the maximum entropy approach offer unique potential for regional landscape design and planning.</w:t>
      </w:r>
    </w:p>
    <w:p w:rsidR="008F0816" w:rsidRDefault="008F0816">
      <w:pPr>
        <w:pStyle w:val="berschrift1"/>
      </w:pPr>
    </w:p>
    <w:p w:rsidR="00D42FC7" w:rsidRDefault="00D42FC7">
      <w:pPr>
        <w:pStyle w:val="berschrift1"/>
      </w:pPr>
      <w:bookmarkStart w:id="0" w:name="_GoBack"/>
      <w:bookmarkEnd w:id="0"/>
      <w:r>
        <w:lastRenderedPageBreak/>
        <w:t>References</w:t>
      </w:r>
    </w:p>
    <w:p w:rsidR="00D42FC7" w:rsidRDefault="00837622" w:rsidP="00964821">
      <w:pPr>
        <w:pStyle w:val="Bibliographytext"/>
      </w:pPr>
      <w:r w:rsidRPr="00837622">
        <w:rPr>
          <w:smallCaps/>
        </w:rPr>
        <w:t xml:space="preserve">Adams, </w:t>
      </w:r>
      <w:r w:rsidR="00831C6C">
        <w:rPr>
          <w:smallCaps/>
        </w:rPr>
        <w:t>B. J. &amp;</w:t>
      </w:r>
      <w:r w:rsidRPr="00837622">
        <w:rPr>
          <w:smallCaps/>
        </w:rPr>
        <w:t xml:space="preserve"> Papa</w:t>
      </w:r>
      <w:r w:rsidR="00831C6C">
        <w:rPr>
          <w:smallCaps/>
        </w:rPr>
        <w:t>, F.</w:t>
      </w:r>
      <w:r>
        <w:t xml:space="preserve"> (2000), Urban </w:t>
      </w:r>
      <w:proofErr w:type="spellStart"/>
      <w:r>
        <w:t>Stormwater</w:t>
      </w:r>
      <w:proofErr w:type="spellEnd"/>
      <w:r>
        <w:t xml:space="preserve"> Management Planning with Analytical Probabilistic Models. 1</w:t>
      </w:r>
      <w:r w:rsidRPr="00837622">
        <w:rPr>
          <w:vertAlign w:val="superscript"/>
        </w:rPr>
        <w:t>st</w:t>
      </w:r>
      <w:r>
        <w:t xml:space="preserve"> edition. Wiley, New York</w:t>
      </w:r>
      <w:r w:rsidR="00166892">
        <w:t>,</w:t>
      </w:r>
      <w:r>
        <w:t xml:space="preserve"> NY</w:t>
      </w:r>
      <w:r w:rsidR="00166892">
        <w:t>.</w:t>
      </w:r>
    </w:p>
    <w:p w:rsidR="00837622" w:rsidRDefault="00837622" w:rsidP="00964821">
      <w:pPr>
        <w:pStyle w:val="Bibliographytext"/>
        <w:rPr>
          <w:smallCaps/>
        </w:rPr>
      </w:pPr>
      <w:r w:rsidRPr="00831C6C">
        <w:rPr>
          <w:smallCaps/>
          <w:lang w:val="en-US"/>
        </w:rPr>
        <w:t xml:space="preserve">Allen, </w:t>
      </w:r>
      <w:r w:rsidR="00831C6C" w:rsidRPr="00831C6C">
        <w:rPr>
          <w:smallCaps/>
          <w:lang w:val="en-US"/>
        </w:rPr>
        <w:t xml:space="preserve">T. F. H., </w:t>
      </w:r>
      <w:proofErr w:type="spellStart"/>
      <w:r w:rsidRPr="00831C6C">
        <w:rPr>
          <w:smallCaps/>
          <w:lang w:val="en-US"/>
        </w:rPr>
        <w:t>Tainter</w:t>
      </w:r>
      <w:proofErr w:type="spellEnd"/>
      <w:r w:rsidRPr="00831C6C">
        <w:rPr>
          <w:smallCaps/>
          <w:lang w:val="en-US"/>
        </w:rPr>
        <w:t xml:space="preserve">, </w:t>
      </w:r>
      <w:r w:rsidR="00831C6C" w:rsidRPr="00831C6C">
        <w:rPr>
          <w:smallCaps/>
          <w:lang w:val="en-US"/>
        </w:rPr>
        <w:t xml:space="preserve">J. </w:t>
      </w:r>
      <w:r w:rsidR="00831C6C" w:rsidRPr="00831C6C">
        <w:rPr>
          <w:caps/>
          <w:lang w:val="en-US"/>
        </w:rPr>
        <w:t>a</w:t>
      </w:r>
      <w:r w:rsidR="00831C6C" w:rsidRPr="00831C6C">
        <w:rPr>
          <w:smallCaps/>
          <w:lang w:val="en-US"/>
        </w:rPr>
        <w:t>. &amp;</w:t>
      </w:r>
      <w:r w:rsidRPr="00831C6C">
        <w:rPr>
          <w:smallCaps/>
          <w:lang w:val="en-US"/>
        </w:rPr>
        <w:t xml:space="preserve"> </w:t>
      </w:r>
      <w:r w:rsidR="00831C6C" w:rsidRPr="00831C6C">
        <w:rPr>
          <w:smallCaps/>
          <w:lang w:val="en-US"/>
        </w:rPr>
        <w:t>Hoekstra,</w:t>
      </w:r>
      <w:r w:rsidRPr="00831C6C">
        <w:rPr>
          <w:smallCaps/>
          <w:lang w:val="en-US"/>
        </w:rPr>
        <w:t xml:space="preserve"> </w:t>
      </w:r>
      <w:r w:rsidR="00831C6C" w:rsidRPr="00837622">
        <w:rPr>
          <w:smallCaps/>
        </w:rPr>
        <w:t xml:space="preserve">T. W. </w:t>
      </w:r>
      <w:r>
        <w:rPr>
          <w:smallCaps/>
        </w:rPr>
        <w:t>(</w:t>
      </w:r>
      <w:r>
        <w:t xml:space="preserve">2003), </w:t>
      </w:r>
      <w:r w:rsidRPr="00837622">
        <w:t>Supply-Side Sustainability. Columbia University Press</w:t>
      </w:r>
      <w:r>
        <w:t>.</w:t>
      </w:r>
    </w:p>
    <w:p w:rsidR="008D5132" w:rsidRDefault="00831C6C" w:rsidP="00964821">
      <w:pPr>
        <w:spacing w:after="0"/>
        <w:ind w:left="284" w:hanging="284"/>
      </w:pPr>
      <w:r>
        <w:rPr>
          <w:smallCaps/>
        </w:rPr>
        <w:t>Elith, J.</w:t>
      </w:r>
      <w:r w:rsidR="00451337">
        <w:rPr>
          <w:smallCaps/>
        </w:rPr>
        <w:t xml:space="preserve">, Phillips, </w:t>
      </w:r>
      <w:r>
        <w:rPr>
          <w:smallCaps/>
        </w:rPr>
        <w:t xml:space="preserve">S. J., </w:t>
      </w:r>
      <w:r w:rsidR="00451337">
        <w:rPr>
          <w:smallCaps/>
        </w:rPr>
        <w:t xml:space="preserve">Hastie, </w:t>
      </w:r>
      <w:r>
        <w:rPr>
          <w:smallCaps/>
        </w:rPr>
        <w:t>T.,</w:t>
      </w:r>
      <w:r w:rsidR="00451337">
        <w:rPr>
          <w:smallCaps/>
        </w:rPr>
        <w:t xml:space="preserve"> </w:t>
      </w:r>
      <w:proofErr w:type="spellStart"/>
      <w:r w:rsidR="00451337">
        <w:rPr>
          <w:smallCaps/>
        </w:rPr>
        <w:t>Dudík</w:t>
      </w:r>
      <w:proofErr w:type="spellEnd"/>
      <w:r w:rsidR="00451337">
        <w:rPr>
          <w:smallCaps/>
        </w:rPr>
        <w:t xml:space="preserve">, </w:t>
      </w:r>
      <w:r>
        <w:rPr>
          <w:smallCaps/>
        </w:rPr>
        <w:t xml:space="preserve">M., </w:t>
      </w:r>
      <w:r w:rsidR="00451337">
        <w:rPr>
          <w:smallCaps/>
        </w:rPr>
        <w:t xml:space="preserve">en Chee, </w:t>
      </w:r>
      <w:r w:rsidR="00964821">
        <w:rPr>
          <w:smallCaps/>
        </w:rPr>
        <w:t xml:space="preserve">Y. &amp; </w:t>
      </w:r>
      <w:r w:rsidR="00451337">
        <w:rPr>
          <w:smallCaps/>
        </w:rPr>
        <w:t>Yates</w:t>
      </w:r>
      <w:r w:rsidR="00964821">
        <w:t xml:space="preserve">, C. J. (2011), </w:t>
      </w:r>
      <w:r w:rsidR="00CA57C8">
        <w:t>A Statistical Explan</w:t>
      </w:r>
      <w:r w:rsidR="00964821">
        <w:t xml:space="preserve">ation of </w:t>
      </w:r>
      <w:proofErr w:type="spellStart"/>
      <w:r w:rsidR="00964821">
        <w:t>MaxEnt</w:t>
      </w:r>
      <w:proofErr w:type="spellEnd"/>
      <w:r w:rsidR="00964821">
        <w:t xml:space="preserve"> for Ecologists.</w:t>
      </w:r>
      <w:r w:rsidR="00CA57C8">
        <w:t xml:space="preserve"> Diversity and Distributions</w:t>
      </w:r>
      <w:r w:rsidR="00964821">
        <w:t>, 17 (1), 43-</w:t>
      </w:r>
      <w:r w:rsidR="00CA57C8">
        <w:t>57. doi:10.1111/j.1472-4642.2010.00725.x.</w:t>
      </w:r>
    </w:p>
    <w:p w:rsidR="00CA57C8" w:rsidRDefault="00451337" w:rsidP="00964821">
      <w:pPr>
        <w:spacing w:after="0"/>
        <w:ind w:left="284" w:hanging="284"/>
      </w:pPr>
      <w:r>
        <w:rPr>
          <w:smallCaps/>
        </w:rPr>
        <w:t>Johnson</w:t>
      </w:r>
      <w:r w:rsidR="008D5132">
        <w:t xml:space="preserve">, </w:t>
      </w:r>
      <w:r w:rsidR="00964821">
        <w:t>N</w:t>
      </w:r>
      <w:r w:rsidR="008D5132">
        <w:t>.</w:t>
      </w:r>
      <w:r w:rsidR="00187391">
        <w:t xml:space="preserve"> </w:t>
      </w:r>
      <w:r w:rsidR="00964821">
        <w:t>(2010),</w:t>
      </w:r>
      <w:r w:rsidR="008D5132">
        <w:t xml:space="preserve"> </w:t>
      </w:r>
      <w:r w:rsidR="00CA57C8">
        <w:t>Pennsylvania Energy Impacts Assessment: Report 1: Marcellus Shale Natural Gas and Wind. The Nature Conservancy, November 15, 2010.</w:t>
      </w:r>
      <w:r w:rsidR="00964821">
        <w:tab/>
      </w:r>
      <w:r w:rsidR="00CA57C8">
        <w:t xml:space="preserve"> </w:t>
      </w:r>
      <w:r w:rsidR="00054BBC" w:rsidRPr="00054BBC">
        <w:t>http://www.nature.org/media/pa/pa_energy_assessment_report.pdf</w:t>
      </w:r>
      <w:r w:rsidR="00054BBC">
        <w:t xml:space="preserve"> (07.12.2020)</w:t>
      </w:r>
      <w:r w:rsidR="00CA57C8">
        <w:t>.</w:t>
      </w:r>
    </w:p>
    <w:p w:rsidR="00CA57C8" w:rsidRDefault="00964821" w:rsidP="00964821">
      <w:pPr>
        <w:spacing w:after="0"/>
        <w:ind w:left="284" w:hanging="284"/>
      </w:pPr>
      <w:proofErr w:type="spellStart"/>
      <w:r>
        <w:rPr>
          <w:smallCaps/>
        </w:rPr>
        <w:t>Odling-Smee</w:t>
      </w:r>
      <w:proofErr w:type="spellEnd"/>
      <w:r>
        <w:rPr>
          <w:smallCaps/>
        </w:rPr>
        <w:t xml:space="preserve">, J. F., </w:t>
      </w:r>
      <w:proofErr w:type="spellStart"/>
      <w:r>
        <w:rPr>
          <w:smallCaps/>
        </w:rPr>
        <w:t>Laland</w:t>
      </w:r>
      <w:proofErr w:type="spellEnd"/>
      <w:r>
        <w:rPr>
          <w:smallCaps/>
        </w:rPr>
        <w:t xml:space="preserve">, K. N. &amp; </w:t>
      </w:r>
      <w:r w:rsidR="00451337">
        <w:rPr>
          <w:smallCaps/>
        </w:rPr>
        <w:t>Feldman</w:t>
      </w:r>
      <w:r>
        <w:t xml:space="preserve">, M. W. (2003), </w:t>
      </w:r>
      <w:r w:rsidR="00CA57C8">
        <w:t>Niche Construction: The Neglected Process in Evolution (MPB-37). Prince</w:t>
      </w:r>
      <w:r>
        <w:t>ton University Press.</w:t>
      </w:r>
    </w:p>
    <w:p w:rsidR="00CA57C8"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r w:rsidR="00964821" w:rsidRPr="00964821">
        <w:rPr>
          <w:smallCaps/>
        </w:rPr>
        <w:t xml:space="preserve">Anderson, </w:t>
      </w:r>
      <w:r w:rsidR="00964821">
        <w:rPr>
          <w:smallCaps/>
        </w:rPr>
        <w:t xml:space="preserve">R. P. &amp; </w:t>
      </w:r>
      <w:proofErr w:type="spellStart"/>
      <w:r w:rsidR="00964821" w:rsidRPr="00964821">
        <w:rPr>
          <w:smallCaps/>
        </w:rPr>
        <w:t>Schapire</w:t>
      </w:r>
      <w:proofErr w:type="spellEnd"/>
      <w:r w:rsidR="00964821">
        <w:t xml:space="preserve">, R. E. (2006), </w:t>
      </w:r>
      <w:r w:rsidR="00CA57C8">
        <w:t xml:space="preserve">Maximum Entropy </w:t>
      </w:r>
      <w:proofErr w:type="spellStart"/>
      <w:r w:rsidR="00CA57C8">
        <w:t>Modeling</w:t>
      </w:r>
      <w:proofErr w:type="spellEnd"/>
      <w:r w:rsidR="00CA57C8">
        <w:t xml:space="preserve"> of Sp</w:t>
      </w:r>
      <w:r w:rsidR="00964821">
        <w:t>ecies Geographic Distributions.</w:t>
      </w:r>
      <w:r w:rsidR="00CA57C8">
        <w:t xml:space="preserve"> Ecological Modelling</w:t>
      </w:r>
      <w:r w:rsidR="00964821">
        <w:t>,</w:t>
      </w:r>
      <w:r w:rsidR="00CA57C8">
        <w:t xml:space="preserve"> 190</w:t>
      </w:r>
      <w:r w:rsidR="00964821">
        <w:t xml:space="preserve"> (3-</w:t>
      </w:r>
      <w:r w:rsidR="00CA57C8">
        <w:t>4</w:t>
      </w:r>
      <w:r w:rsidR="00964821">
        <w:t>), 231-2</w:t>
      </w:r>
      <w:r w:rsidR="00CA57C8">
        <w:t>59. doi:10.1016/j.ecolmodel.2005.03.026.</w:t>
      </w:r>
    </w:p>
    <w:p w:rsidR="008D5132"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proofErr w:type="spellStart"/>
      <w:r>
        <w:rPr>
          <w:smallCaps/>
        </w:rPr>
        <w:t>Dudík</w:t>
      </w:r>
      <w:proofErr w:type="spellEnd"/>
      <w:r w:rsidR="008D5132">
        <w:t xml:space="preserve">, </w:t>
      </w:r>
      <w:r w:rsidR="00964821">
        <w:t xml:space="preserve">M. &amp; </w:t>
      </w:r>
      <w:proofErr w:type="spellStart"/>
      <w:r>
        <w:rPr>
          <w:smallCaps/>
        </w:rPr>
        <w:t>Schapire</w:t>
      </w:r>
      <w:proofErr w:type="spellEnd"/>
      <w:r w:rsidR="00964821">
        <w:t>, R. E. (2004),</w:t>
      </w:r>
      <w:r w:rsidR="008D5132">
        <w:t xml:space="preserve"> </w:t>
      </w:r>
      <w:r w:rsidR="00CA57C8">
        <w:t>A Maximum Entropy Approach to</w:t>
      </w:r>
      <w:r w:rsidR="00964821">
        <w:t xml:space="preserve"> Species Distribution </w:t>
      </w:r>
      <w:proofErr w:type="spellStart"/>
      <w:r w:rsidR="00964821">
        <w:t>Modeling</w:t>
      </w:r>
      <w:proofErr w:type="spellEnd"/>
      <w:r w:rsidR="00964821">
        <w:t>.</w:t>
      </w:r>
      <w:r w:rsidR="00CA57C8">
        <w:t xml:space="preserve"> In</w:t>
      </w:r>
      <w:r w:rsidR="00964821">
        <w:t>:</w:t>
      </w:r>
      <w:r w:rsidR="00CA57C8">
        <w:t xml:space="preserve"> Proceedings of the Twenty-First International Conf</w:t>
      </w:r>
      <w:r w:rsidR="00964821">
        <w:t xml:space="preserve">erence on Machine Learning, ICML ’04. </w:t>
      </w:r>
      <w:r w:rsidR="00166892">
        <w:t>ACM, New York, NY</w:t>
      </w:r>
      <w:r w:rsidR="00964821">
        <w:t>.</w:t>
      </w:r>
      <w:r w:rsidR="00964821">
        <w:tab/>
      </w:r>
      <w:r w:rsidR="00CA57C8">
        <w:t xml:space="preserve"> doi:10.1145/1015330.1015412.</w:t>
      </w:r>
    </w:p>
    <w:p w:rsidR="00980D48" w:rsidRDefault="00451337" w:rsidP="00964821">
      <w:pPr>
        <w:spacing w:after="0"/>
        <w:ind w:left="284" w:hanging="284"/>
      </w:pPr>
      <w:r>
        <w:rPr>
          <w:smallCaps/>
        </w:rPr>
        <w:t>Steinitz</w:t>
      </w:r>
      <w:r w:rsidR="00964821">
        <w:t>, C</w:t>
      </w:r>
      <w:r w:rsidR="008D5132">
        <w:t>.</w:t>
      </w:r>
      <w:r w:rsidR="00964821">
        <w:t xml:space="preserve"> (2012),</w:t>
      </w:r>
      <w:r w:rsidR="008D5132">
        <w:t xml:space="preserve"> </w:t>
      </w:r>
      <w:r w:rsidR="00980D48">
        <w:t xml:space="preserve">A Framework for </w:t>
      </w:r>
      <w:proofErr w:type="spellStart"/>
      <w:r w:rsidR="00980D48">
        <w:t>Geodesign</w:t>
      </w:r>
      <w:proofErr w:type="spellEnd"/>
      <w:r w:rsidR="00980D48">
        <w:t>: Changing Geography by Design. ESRI</w:t>
      </w:r>
      <w:r w:rsidR="00964821">
        <w:t xml:space="preserve"> Press</w:t>
      </w:r>
      <w:r w:rsidR="00980D48">
        <w:t xml:space="preserve">, </w:t>
      </w:r>
      <w:r w:rsidR="00964821">
        <w:t>Redlands, CA</w:t>
      </w:r>
      <w:r w:rsidR="00980D48">
        <w:t>.</w:t>
      </w:r>
    </w:p>
    <w:p w:rsidR="00D42FC7" w:rsidRDefault="00D42FC7" w:rsidP="008D5132">
      <w:pPr>
        <w:pStyle w:val="Bibliographytext"/>
        <w:ind w:left="0" w:firstLine="0"/>
        <w:rPr>
          <w:smallCaps/>
        </w:rPr>
      </w:pPr>
    </w:p>
    <w:sectPr w:rsidR="00D42FC7" w:rsidSect="003A643D">
      <w:headerReference w:type="even" r:id="rId11"/>
      <w:headerReference w:type="default" r:id="rId12"/>
      <w:headerReference w:type="first" r:id="rId13"/>
      <w:footerReference w:type="first" r:id="rId14"/>
      <w:type w:val="continuous"/>
      <w:pgSz w:w="9639" w:h="13608" w:code="9"/>
      <w:pgMar w:top="1304" w:right="1134" w:bottom="1247" w:left="1134"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8B5" w:rsidRDefault="000218B5">
      <w:r>
        <w:separator/>
      </w:r>
    </w:p>
  </w:endnote>
  <w:endnote w:type="continuationSeparator" w:id="0">
    <w:p w:rsidR="000218B5" w:rsidRDefault="0002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BE06C7">
    <w:pPr>
      <w:pStyle w:val="Fuzeile"/>
    </w:pPr>
    <w:r>
      <w:rPr>
        <w:noProof/>
        <w:lang w:val="de-D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margin">
                <wp:posOffset>7121525</wp:posOffset>
              </wp:positionV>
              <wp:extent cx="4680585" cy="622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622935"/>
                      </a:xfrm>
                      <a:prstGeom prst="rect">
                        <a:avLst/>
                      </a:prstGeom>
                      <a:solidFill>
                        <a:srgbClr val="FFFFFF"/>
                      </a:solidFill>
                      <a:ln w="9525">
                        <a:solidFill>
                          <a:srgbClr val="FFFFFF"/>
                        </a:solidFill>
                        <a:miter lim="800000"/>
                        <a:headEnd/>
                        <a:tailEnd/>
                      </a:ln>
                    </wps:spPr>
                    <wps:txbx>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E68FC">
                            <w:rPr>
                              <w:bCs/>
                              <w:spacing w:val="-2"/>
                              <w:sz w:val="16"/>
                              <w:szCs w:val="16"/>
                              <w:lang w:val="en-US"/>
                            </w:rPr>
                            <w:t>6</w:t>
                          </w:r>
                          <w:r w:rsidR="00DD2BED" w:rsidRPr="001E37B3">
                            <w:rPr>
                              <w:spacing w:val="-2"/>
                              <w:sz w:val="16"/>
                              <w:szCs w:val="16"/>
                              <w:lang w:val="en-US"/>
                            </w:rPr>
                            <w:t>-20</w:t>
                          </w:r>
                          <w:r w:rsidR="00DD2BED">
                            <w:rPr>
                              <w:spacing w:val="-2"/>
                              <w:sz w:val="16"/>
                              <w:szCs w:val="16"/>
                              <w:lang w:val="en-US"/>
                            </w:rPr>
                            <w:t>2</w:t>
                          </w:r>
                          <w:r w:rsidR="001E68FC">
                            <w:rPr>
                              <w:spacing w:val="-2"/>
                              <w:sz w:val="16"/>
                              <w:szCs w:val="16"/>
                              <w:lang w:val="en-US"/>
                            </w:rPr>
                            <w:t>1</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A97F05" w:rsidRPr="00A97F05">
                            <w:rPr>
                              <w:rFonts w:eastAsia="Calibri"/>
                              <w:sz w:val="16"/>
                              <w:szCs w:val="16"/>
                              <w:lang w:val="de-DE"/>
                            </w:rPr>
                            <w:t>705-2</w:t>
                          </w:r>
                          <w:r w:rsidRPr="00434211">
                            <w:rPr>
                              <w:rFonts w:eastAsia="Calibri"/>
                              <w:sz w:val="16"/>
                              <w:szCs w:val="16"/>
                              <w:lang w:val="de-DE"/>
                            </w:rPr>
                            <w:t xml:space="preserve">, ISSN 2367-4253, </w:t>
                          </w:r>
                          <w:r w:rsidRPr="00434211">
                            <w:rPr>
                              <w:sz w:val="16"/>
                              <w:szCs w:val="16"/>
                              <w:lang w:val="de-DE"/>
                            </w:rPr>
                            <w:t>doi:10.14627/537</w:t>
                          </w:r>
                          <w:r w:rsidR="00A97F05" w:rsidRPr="00A97F05">
                            <w:rPr>
                              <w:rFonts w:eastAsia="Calibri"/>
                              <w:sz w:val="16"/>
                              <w:szCs w:val="16"/>
                              <w:lang w:val="de-DE"/>
                            </w:rPr>
                            <w:t>705</w:t>
                          </w:r>
                          <w:r w:rsidRPr="00434211">
                            <w:rPr>
                              <w:sz w:val="16"/>
                              <w:szCs w:val="16"/>
                              <w:lang w:val="de-DE"/>
                            </w:rPr>
                            <w:t>xxx</w:t>
                          </w:r>
                          <w:r>
                            <w:rPr>
                              <w:sz w:val="16"/>
                              <w:szCs w:val="16"/>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left:0;text-align:left;margin-left:0;margin-top:560.75pt;width:368.5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" strokecolor="white">
              <v:textbox inset="0,0,0,0">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E68FC">
                      <w:rPr>
                        <w:bCs/>
                        <w:spacing w:val="-2"/>
                        <w:sz w:val="16"/>
                        <w:szCs w:val="16"/>
                        <w:lang w:val="en-US"/>
                      </w:rPr>
                      <w:t>6</w:t>
                    </w:r>
                    <w:r w:rsidR="00DD2BED" w:rsidRPr="001E37B3">
                      <w:rPr>
                        <w:spacing w:val="-2"/>
                        <w:sz w:val="16"/>
                        <w:szCs w:val="16"/>
                        <w:lang w:val="en-US"/>
                      </w:rPr>
                      <w:t>-20</w:t>
                    </w:r>
                    <w:r w:rsidR="00DD2BED">
                      <w:rPr>
                        <w:spacing w:val="-2"/>
                        <w:sz w:val="16"/>
                        <w:szCs w:val="16"/>
                        <w:lang w:val="en-US"/>
                      </w:rPr>
                      <w:t>2</w:t>
                    </w:r>
                    <w:r w:rsidR="001E68FC">
                      <w:rPr>
                        <w:spacing w:val="-2"/>
                        <w:sz w:val="16"/>
                        <w:szCs w:val="16"/>
                        <w:lang w:val="en-US"/>
                      </w:rPr>
                      <w:t>1</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A97F05" w:rsidRPr="00A97F05">
                      <w:rPr>
                        <w:rFonts w:eastAsia="Calibri"/>
                        <w:sz w:val="16"/>
                        <w:szCs w:val="16"/>
                        <w:lang w:val="de-DE"/>
                      </w:rPr>
                      <w:t>705-2</w:t>
                    </w:r>
                    <w:r w:rsidRPr="00434211">
                      <w:rPr>
                        <w:rFonts w:eastAsia="Calibri"/>
                        <w:sz w:val="16"/>
                        <w:szCs w:val="16"/>
                        <w:lang w:val="de-DE"/>
                      </w:rPr>
                      <w:t xml:space="preserve">, ISSN 2367-4253, </w:t>
                    </w:r>
                    <w:r w:rsidRPr="00434211">
                      <w:rPr>
                        <w:sz w:val="16"/>
                        <w:szCs w:val="16"/>
                        <w:lang w:val="de-DE"/>
                      </w:rPr>
                      <w:t>doi:10.14627/537</w:t>
                    </w:r>
                    <w:r w:rsidR="00A97F05" w:rsidRPr="00A97F05">
                      <w:rPr>
                        <w:rFonts w:eastAsia="Calibri"/>
                        <w:sz w:val="16"/>
                        <w:szCs w:val="16"/>
                        <w:lang w:val="de-DE"/>
                      </w:rPr>
                      <w:t>705</w:t>
                    </w:r>
                    <w:r w:rsidRPr="00434211">
                      <w:rPr>
                        <w:sz w:val="16"/>
                        <w:szCs w:val="16"/>
                        <w:lang w:val="de-DE"/>
                      </w:rPr>
                      <w:t>xxx</w:t>
                    </w:r>
                    <w:r>
                      <w:rPr>
                        <w:sz w:val="16"/>
                        <w:szCs w:val="16"/>
                        <w:lang w:val="de-DE"/>
                      </w:rPr>
                      <w: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8B5" w:rsidRDefault="000218B5">
      <w:r>
        <w:separator/>
      </w:r>
    </w:p>
  </w:footnote>
  <w:footnote w:type="continuationSeparator" w:id="0">
    <w:p w:rsidR="000218B5" w:rsidRDefault="0002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Pr="00FF6941" w:rsidRDefault="00642DE7" w:rsidP="00642DE7">
    <w:pPr>
      <w:pStyle w:val="Kopfzeile"/>
      <w:pBdr>
        <w:bottom w:val="single" w:sz="6" w:space="1" w:color="auto"/>
      </w:pBdr>
      <w:tabs>
        <w:tab w:val="clear" w:pos="4536"/>
        <w:tab w:val="clear" w:pos="9072"/>
        <w:tab w:val="right" w:pos="7371"/>
      </w:tabs>
      <w:jc w:val="right"/>
      <w:rPr>
        <w:szCs w:val="18"/>
      </w:rPr>
    </w:pPr>
    <w:r w:rsidRPr="0011004C">
      <w:rPr>
        <w:szCs w:val="18"/>
      </w:rPr>
      <w:fldChar w:fldCharType="begin"/>
    </w:r>
    <w:r w:rsidRPr="0011004C">
      <w:rPr>
        <w:szCs w:val="18"/>
      </w:rPr>
      <w:instrText>PAGE   \* MERGEFORMAT</w:instrText>
    </w:r>
    <w:r w:rsidRPr="0011004C">
      <w:rPr>
        <w:szCs w:val="18"/>
      </w:rPr>
      <w:fldChar w:fldCharType="separate"/>
    </w:r>
    <w:r w:rsidR="008F0816">
      <w:rPr>
        <w:noProof/>
        <w:szCs w:val="18"/>
      </w:rPr>
      <w:t>2</w:t>
    </w:r>
    <w:r w:rsidRPr="0011004C">
      <w:rPr>
        <w:szCs w:val="18"/>
      </w:rPr>
      <w:fldChar w:fldCharType="end"/>
    </w:r>
    <w:r>
      <w:rPr>
        <w:szCs w:val="18"/>
      </w:rPr>
      <w:tab/>
    </w:r>
    <w:r w:rsidR="00555E7D">
      <w:rPr>
        <w:szCs w:val="18"/>
      </w:rPr>
      <w:t xml:space="preserve">Journal of </w:t>
    </w:r>
    <w:r w:rsidR="0010263C" w:rsidRPr="00A73669">
      <w:rPr>
        <w:bCs/>
        <w:szCs w:val="18"/>
      </w:rPr>
      <w:t>Digital Landscape Architecture</w:t>
    </w:r>
    <w:r w:rsidR="0010263C" w:rsidRPr="00FF6941">
      <w:rPr>
        <w:szCs w:val="18"/>
      </w:rPr>
      <w:t xml:space="preserve"> · </w:t>
    </w:r>
    <w:r w:rsidR="001E68FC">
      <w:rPr>
        <w:szCs w:val="18"/>
      </w:rPr>
      <w:t>6</w:t>
    </w:r>
    <w:r w:rsidR="00B45BB8">
      <w:rPr>
        <w:szCs w:val="18"/>
      </w:rPr>
      <w:t>-</w:t>
    </w:r>
    <w:r w:rsidR="0010263C" w:rsidRPr="00FF6941">
      <w:rPr>
        <w:szCs w:val="18"/>
      </w:rPr>
      <w:t>20</w:t>
    </w:r>
    <w:r w:rsidR="00DD2BED">
      <w:rPr>
        <w:szCs w:val="18"/>
      </w:rPr>
      <w:t>2</w:t>
    </w:r>
    <w:r w:rsidR="001E68FC">
      <w:rPr>
        <w:szCs w:val="18"/>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10263C" w:rsidP="00642DE7">
    <w:pPr>
      <w:pStyle w:val="Kopfzeile"/>
      <w:pBdr>
        <w:bottom w:val="single" w:sz="6" w:space="1" w:color="auto"/>
      </w:pBdr>
      <w:tabs>
        <w:tab w:val="clear" w:pos="4536"/>
        <w:tab w:val="clear" w:pos="9072"/>
        <w:tab w:val="right" w:pos="7371"/>
      </w:tabs>
      <w:jc w:val="left"/>
    </w:pPr>
    <w:r>
      <w:t>T. Murtha et al.:</w:t>
    </w:r>
    <w:r w:rsidRPr="000C7BC4">
      <w:t xml:space="preserve"> Probabilistic Modelling and Complex Ener</w:t>
    </w:r>
    <w:r>
      <w:t>gy Landscape Design</w:t>
    </w:r>
    <w:r w:rsidR="00642DE7">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8F0816">
      <w:rPr>
        <w:noProof/>
        <w:szCs w:val="18"/>
      </w:rPr>
      <w:t>3</w:t>
    </w:r>
    <w:r w:rsidR="00642DE7" w:rsidRPr="0011004C">
      <w:rPr>
        <w:szCs w:val="1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E7" w:rsidRDefault="00A73669" w:rsidP="00A73669">
    <w:pPr>
      <w:pStyle w:val="Kopfzeile"/>
      <w:pBdr>
        <w:bottom w:val="single" w:sz="6" w:space="1" w:color="auto"/>
      </w:pBdr>
      <w:tabs>
        <w:tab w:val="clear" w:pos="4536"/>
        <w:tab w:val="clear" w:pos="9072"/>
        <w:tab w:val="right" w:pos="7371"/>
      </w:tabs>
      <w:jc w:val="right"/>
    </w:pPr>
    <w:r w:rsidRPr="001457FE">
      <w:rPr>
        <w:b/>
      </w:rPr>
      <w:t>Full Paper</w:t>
    </w:r>
    <w:r>
      <w:rPr>
        <w:b/>
      </w:rPr>
      <w:tab/>
    </w:r>
    <w:r w:rsidRPr="0011004C">
      <w:rPr>
        <w:szCs w:val="18"/>
      </w:rPr>
      <w:t xml:space="preserve"> </w:t>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8F0816">
      <w:rPr>
        <w:noProof/>
        <w:szCs w:val="18"/>
      </w:rPr>
      <w:t>1</w:t>
    </w:r>
    <w:r w:rsidR="00642DE7" w:rsidRPr="0011004C">
      <w:rPr>
        <w:szCs w:val="1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8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822ACA"/>
    <w:multiLevelType w:val="hybridMultilevel"/>
    <w:tmpl w:val="768C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45970"/>
    <w:multiLevelType w:val="multilevel"/>
    <w:tmpl w:val="3B5CA2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038F3"/>
    <w:multiLevelType w:val="hybridMultilevel"/>
    <w:tmpl w:val="3B5C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5" w15:restartNumberingAfterBreak="0">
    <w:nsid w:val="308C2BAD"/>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574A4"/>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36DBB"/>
    <w:multiLevelType w:val="hybridMultilevel"/>
    <w:tmpl w:val="D3D4290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9" w15:restartNumberingAfterBreak="0">
    <w:nsid w:val="580F0D61"/>
    <w:multiLevelType w:val="hybridMultilevel"/>
    <w:tmpl w:val="2E7CAB96"/>
    <w:lvl w:ilvl="0" w:tplc="11B8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07AB6"/>
    <w:multiLevelType w:val="hybridMultilevel"/>
    <w:tmpl w:val="C6D464CC"/>
    <w:lvl w:ilvl="0" w:tplc="3DCAE5AA">
      <w:start w:val="1"/>
      <w:numFmt w:val="bullet"/>
      <w:lvlText w:val=""/>
      <w:lvlJc w:val="left"/>
      <w:pPr>
        <w:tabs>
          <w:tab w:val="num" w:pos="36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8"/>
  </w:num>
  <w:num w:numId="2">
    <w:abstractNumId w:val="13"/>
  </w:num>
  <w:num w:numId="3">
    <w:abstractNumId w:val="4"/>
  </w:num>
  <w:num w:numId="4">
    <w:abstractNumId w:val="12"/>
  </w:num>
  <w:num w:numId="5">
    <w:abstractNumId w:val="7"/>
  </w:num>
  <w:num w:numId="6">
    <w:abstractNumId w:val="3"/>
  </w:num>
  <w:num w:numId="7">
    <w:abstractNumId w:val="11"/>
  </w:num>
  <w:num w:numId="8">
    <w:abstractNumId w:val="9"/>
  </w:num>
  <w:num w:numId="9">
    <w:abstractNumId w:val="2"/>
  </w:num>
  <w:num w:numId="10">
    <w:abstractNumId w:val="10"/>
  </w:num>
  <w:num w:numId="11">
    <w:abstractNumId w:val="0"/>
  </w:num>
  <w:num w:numId="12">
    <w:abstractNumId w:val="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EFC"/>
    <w:rsid w:val="000005AE"/>
    <w:rsid w:val="00005497"/>
    <w:rsid w:val="000218B5"/>
    <w:rsid w:val="00021BCC"/>
    <w:rsid w:val="0002547F"/>
    <w:rsid w:val="00054BBC"/>
    <w:rsid w:val="000728CD"/>
    <w:rsid w:val="00073032"/>
    <w:rsid w:val="000C5F4C"/>
    <w:rsid w:val="000C7BC4"/>
    <w:rsid w:val="000E2832"/>
    <w:rsid w:val="0010263C"/>
    <w:rsid w:val="00114591"/>
    <w:rsid w:val="0012276C"/>
    <w:rsid w:val="00142A88"/>
    <w:rsid w:val="00165418"/>
    <w:rsid w:val="00166892"/>
    <w:rsid w:val="00187391"/>
    <w:rsid w:val="00194BD0"/>
    <w:rsid w:val="00195245"/>
    <w:rsid w:val="001C4B67"/>
    <w:rsid w:val="001D75B5"/>
    <w:rsid w:val="001E0999"/>
    <w:rsid w:val="001E68FC"/>
    <w:rsid w:val="001F2F68"/>
    <w:rsid w:val="002005AD"/>
    <w:rsid w:val="0020172A"/>
    <w:rsid w:val="00204FFC"/>
    <w:rsid w:val="002068A9"/>
    <w:rsid w:val="00230863"/>
    <w:rsid w:val="00265691"/>
    <w:rsid w:val="002979B9"/>
    <w:rsid w:val="002A207B"/>
    <w:rsid w:val="002A58A2"/>
    <w:rsid w:val="002A7783"/>
    <w:rsid w:val="002F1CCF"/>
    <w:rsid w:val="002F7BCE"/>
    <w:rsid w:val="0033441B"/>
    <w:rsid w:val="00356F5D"/>
    <w:rsid w:val="00357CE2"/>
    <w:rsid w:val="0036128F"/>
    <w:rsid w:val="00365E0C"/>
    <w:rsid w:val="003A643D"/>
    <w:rsid w:val="003A739C"/>
    <w:rsid w:val="003F1B68"/>
    <w:rsid w:val="00406559"/>
    <w:rsid w:val="00434211"/>
    <w:rsid w:val="00435F62"/>
    <w:rsid w:val="00451337"/>
    <w:rsid w:val="00453972"/>
    <w:rsid w:val="004C026C"/>
    <w:rsid w:val="004C633A"/>
    <w:rsid w:val="00555E7D"/>
    <w:rsid w:val="005608D2"/>
    <w:rsid w:val="00581BE7"/>
    <w:rsid w:val="00595F36"/>
    <w:rsid w:val="00597C76"/>
    <w:rsid w:val="005C0908"/>
    <w:rsid w:val="005D3AA9"/>
    <w:rsid w:val="005F5B81"/>
    <w:rsid w:val="00642DE7"/>
    <w:rsid w:val="00680BD7"/>
    <w:rsid w:val="006A5C89"/>
    <w:rsid w:val="006B4982"/>
    <w:rsid w:val="006D494A"/>
    <w:rsid w:val="006D6ADD"/>
    <w:rsid w:val="006E1503"/>
    <w:rsid w:val="00703B14"/>
    <w:rsid w:val="0072477E"/>
    <w:rsid w:val="00786FD9"/>
    <w:rsid w:val="007D00BB"/>
    <w:rsid w:val="007D2C18"/>
    <w:rsid w:val="007D3190"/>
    <w:rsid w:val="00815455"/>
    <w:rsid w:val="008231F9"/>
    <w:rsid w:val="00831C6C"/>
    <w:rsid w:val="00837622"/>
    <w:rsid w:val="0088274B"/>
    <w:rsid w:val="008D5132"/>
    <w:rsid w:val="008E5F38"/>
    <w:rsid w:val="008F0816"/>
    <w:rsid w:val="00904544"/>
    <w:rsid w:val="009125D7"/>
    <w:rsid w:val="00964821"/>
    <w:rsid w:val="00980D48"/>
    <w:rsid w:val="009B217A"/>
    <w:rsid w:val="009E113C"/>
    <w:rsid w:val="00A24B5B"/>
    <w:rsid w:val="00A473E7"/>
    <w:rsid w:val="00A73669"/>
    <w:rsid w:val="00A74A15"/>
    <w:rsid w:val="00A97F05"/>
    <w:rsid w:val="00AB0729"/>
    <w:rsid w:val="00AB4904"/>
    <w:rsid w:val="00AC5E6C"/>
    <w:rsid w:val="00AE35E7"/>
    <w:rsid w:val="00AF5729"/>
    <w:rsid w:val="00B2354C"/>
    <w:rsid w:val="00B27EFC"/>
    <w:rsid w:val="00B338B8"/>
    <w:rsid w:val="00B3638C"/>
    <w:rsid w:val="00B36F7F"/>
    <w:rsid w:val="00B45BB8"/>
    <w:rsid w:val="00B9237C"/>
    <w:rsid w:val="00B93570"/>
    <w:rsid w:val="00BA0458"/>
    <w:rsid w:val="00BA2E68"/>
    <w:rsid w:val="00BD0181"/>
    <w:rsid w:val="00BE06C7"/>
    <w:rsid w:val="00CA57C8"/>
    <w:rsid w:val="00CD5F25"/>
    <w:rsid w:val="00CF0626"/>
    <w:rsid w:val="00D21700"/>
    <w:rsid w:val="00D321E3"/>
    <w:rsid w:val="00D37808"/>
    <w:rsid w:val="00D42FC7"/>
    <w:rsid w:val="00D45BBF"/>
    <w:rsid w:val="00D602F4"/>
    <w:rsid w:val="00D606F0"/>
    <w:rsid w:val="00D96510"/>
    <w:rsid w:val="00DC2B6E"/>
    <w:rsid w:val="00DD2BED"/>
    <w:rsid w:val="00E0665B"/>
    <w:rsid w:val="00E30AB0"/>
    <w:rsid w:val="00E324B6"/>
    <w:rsid w:val="00EA1658"/>
    <w:rsid w:val="00EB31D2"/>
    <w:rsid w:val="00ED75FD"/>
    <w:rsid w:val="00F15B5C"/>
    <w:rsid w:val="00F212E8"/>
    <w:rsid w:val="00F27E55"/>
    <w:rsid w:val="00F419C5"/>
    <w:rsid w:val="00F51652"/>
    <w:rsid w:val="00F7314C"/>
    <w:rsid w:val="00F766D2"/>
    <w:rsid w:val="00F81173"/>
    <w:rsid w:val="00F95627"/>
    <w:rsid w:val="00FE60B0"/>
    <w:rsid w:val="00FF69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FEFE4"/>
  <w15:chartTrackingRefBased/>
  <w15:docId w15:val="{A0BBEF39-7A3B-4769-90CD-B549E17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jc w:val="both"/>
    </w:pPr>
    <w:rPr>
      <w:lang w:val="en-GB"/>
    </w:rPr>
  </w:style>
  <w:style w:type="paragraph" w:styleId="berschrift1">
    <w:name w:val="heading 1"/>
    <w:aliases w:val="Heading1"/>
    <w:basedOn w:val="Standard"/>
    <w:next w:val="Standard"/>
    <w:qFormat/>
    <w:pPr>
      <w:tabs>
        <w:tab w:val="left" w:pos="510"/>
      </w:tabs>
      <w:spacing w:before="360" w:after="240"/>
      <w:ind w:left="510" w:hanging="510"/>
      <w:jc w:val="left"/>
      <w:outlineLvl w:val="0"/>
    </w:pPr>
    <w:rPr>
      <w:b/>
      <w:sz w:val="26"/>
    </w:rPr>
  </w:style>
  <w:style w:type="paragraph" w:styleId="berschrift2">
    <w:name w:val="heading 2"/>
    <w:aliases w:val="Heading2"/>
    <w:basedOn w:val="Standard"/>
    <w:next w:val="Standard"/>
    <w:autoRedefine/>
    <w:qFormat/>
    <w:rsid w:val="00E324B6"/>
    <w:pPr>
      <w:tabs>
        <w:tab w:val="left" w:pos="510"/>
      </w:tabs>
      <w:spacing w:before="240"/>
      <w:ind w:left="510" w:hanging="510"/>
      <w:jc w:val="left"/>
      <w:outlineLvl w:val="1"/>
    </w:pPr>
    <w:rPr>
      <w:b/>
      <w:sz w:val="22"/>
    </w:rPr>
  </w:style>
  <w:style w:type="paragraph" w:styleId="berschrift3">
    <w:name w:val="heading 3"/>
    <w:aliases w:val="Heading3"/>
    <w:basedOn w:val="Standard"/>
    <w:next w:val="Standard"/>
    <w:qFormat/>
    <w:pPr>
      <w:tabs>
        <w:tab w:val="left" w:pos="510"/>
      </w:tabs>
      <w:spacing w:before="120"/>
      <w:ind w:left="510" w:hanging="510"/>
      <w:outlineLvl w:val="2"/>
    </w:pPr>
    <w:rPr>
      <w:b/>
      <w:sz w:val="22"/>
    </w:rPr>
  </w:style>
  <w:style w:type="paragraph" w:styleId="berschrift4">
    <w:name w:val="heading 4"/>
    <w:aliases w:val="Heading4"/>
    <w:basedOn w:val="Standard"/>
    <w:next w:val="Standard"/>
    <w:qFormat/>
    <w:pPr>
      <w:keepNext/>
      <w:spacing w:after="60"/>
      <w:outlineLvl w:val="3"/>
    </w:pPr>
    <w:rPr>
      <w:b/>
    </w:rPr>
  </w:style>
  <w:style w:type="paragraph" w:styleId="berschrift5">
    <w:name w:val="heading 5"/>
    <w:aliases w:val="Heading5"/>
    <w:basedOn w:val="Standard"/>
    <w:next w:val="Standard"/>
    <w:qFormat/>
    <w:pPr>
      <w:spacing w:before="240" w:after="60"/>
      <w:outlineLvl w:val="4"/>
    </w:pPr>
    <w:rPr>
      <w:sz w:val="22"/>
    </w:rPr>
  </w:style>
  <w:style w:type="paragraph" w:styleId="berschrift6">
    <w:name w:val="heading 6"/>
    <w:aliases w:val="Heading6"/>
    <w:basedOn w:val="Standard"/>
    <w:next w:val="Standard"/>
    <w:qFormat/>
    <w:pPr>
      <w:spacing w:before="240" w:after="60"/>
      <w:outlineLvl w:val="5"/>
    </w:pPr>
    <w:rPr>
      <w:i/>
      <w:sz w:val="22"/>
    </w:rPr>
  </w:style>
  <w:style w:type="paragraph" w:styleId="berschrift7">
    <w:name w:val="heading 7"/>
    <w:aliases w:val="Heading7"/>
    <w:basedOn w:val="Standard"/>
    <w:next w:val="Standard"/>
    <w:qFormat/>
    <w:pPr>
      <w:spacing w:before="240" w:after="60"/>
      <w:outlineLvl w:val="6"/>
    </w:pPr>
  </w:style>
  <w:style w:type="paragraph" w:styleId="berschrift8">
    <w:name w:val="heading 8"/>
    <w:aliases w:val="Heading8"/>
    <w:basedOn w:val="Standard"/>
    <w:next w:val="Standard"/>
    <w:qFormat/>
    <w:pPr>
      <w:spacing w:before="240" w:after="60"/>
      <w:outlineLvl w:val="7"/>
    </w:pPr>
    <w:rPr>
      <w:i/>
    </w:rPr>
  </w:style>
  <w:style w:type="paragraph" w:styleId="berschrift9">
    <w:name w:val="heading 9"/>
    <w:aliases w:val="Heading9"/>
    <w:basedOn w:val="Standard"/>
    <w:next w:val="Standard"/>
    <w:qFormat/>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semiHidden/>
    <w:pPr>
      <w:tabs>
        <w:tab w:val="center" w:pos="4536"/>
        <w:tab w:val="right" w:pos="9072"/>
      </w:tabs>
      <w:spacing w:after="0"/>
    </w:pPr>
    <w:rPr>
      <w:sz w:val="18"/>
    </w:rPr>
  </w:style>
  <w:style w:type="paragraph" w:styleId="Fuzeile">
    <w:name w:val="footer"/>
    <w:aliases w:val="footer"/>
    <w:basedOn w:val="Standard"/>
    <w:semiHidden/>
    <w:pPr>
      <w:tabs>
        <w:tab w:val="center" w:pos="4536"/>
        <w:tab w:val="right" w:pos="9072"/>
      </w:tabs>
    </w:pPr>
    <w:rPr>
      <w:sz w:val="18"/>
    </w:rPr>
  </w:style>
  <w:style w:type="character" w:styleId="Seitenzahl">
    <w:name w:val="page number"/>
    <w:aliases w:val="page number"/>
    <w:semiHidden/>
    <w:rPr>
      <w:sz w:val="18"/>
    </w:rPr>
  </w:style>
  <w:style w:type="paragraph" w:styleId="Funotentext">
    <w:name w:val="footnote text"/>
    <w:aliases w:val="footnote"/>
    <w:basedOn w:val="Standard"/>
    <w:semiHidden/>
    <w:pPr>
      <w:tabs>
        <w:tab w:val="left" w:pos="198"/>
      </w:tabs>
      <w:ind w:left="198" w:hanging="198"/>
    </w:pPr>
    <w:rPr>
      <w:sz w:val="18"/>
    </w:rPr>
  </w:style>
  <w:style w:type="character" w:styleId="Funotenzeichen">
    <w:name w:val="footnote reference"/>
    <w:aliases w:val="footnote mark"/>
    <w:semiHidden/>
    <w:rPr>
      <w:vertAlign w:val="superscript"/>
    </w:rPr>
  </w:style>
  <w:style w:type="paragraph" w:customStyle="1" w:styleId="Paragraphaftertables">
    <w:name w:val="Paragraph after tables"/>
    <w:basedOn w:val="Standard"/>
    <w:pPr>
      <w:spacing w:before="360"/>
    </w:pPr>
  </w:style>
  <w:style w:type="paragraph" w:customStyle="1" w:styleId="Graphics">
    <w:name w:val="Graphics"/>
    <w:basedOn w:val="Standard"/>
    <w:rsid w:val="000E2832"/>
    <w:pPr>
      <w:spacing w:before="240" w:after="0"/>
      <w:jc w:val="left"/>
    </w:pPr>
  </w:style>
  <w:style w:type="paragraph" w:customStyle="1" w:styleId="Bibliographytext">
    <w:name w:val="Bibliography text"/>
    <w:basedOn w:val="Standard"/>
    <w:rsid w:val="00BA0458"/>
    <w:pPr>
      <w:spacing w:after="0"/>
      <w:ind w:left="284" w:hanging="284"/>
    </w:pPr>
  </w:style>
  <w:style w:type="paragraph" w:customStyle="1" w:styleId="Contributiontitle">
    <w:name w:val="Contribution title"/>
    <w:rsid w:val="00EB31D2"/>
    <w:pPr>
      <w:spacing w:after="240"/>
    </w:pPr>
    <w:rPr>
      <w:b/>
      <w:sz w:val="32"/>
      <w:lang w:val="en-GB"/>
    </w:rPr>
  </w:style>
  <w:style w:type="paragraph" w:customStyle="1" w:styleId="Authorsnames">
    <w:name w:val="Author’s name(s)"/>
    <w:basedOn w:val="Standard"/>
    <w:rsid w:val="00EB31D2"/>
    <w:pPr>
      <w:spacing w:after="80"/>
      <w:jc w:val="left"/>
    </w:pPr>
    <w:rPr>
      <w:szCs w:val="24"/>
      <w:lang w:eastAsia="en-US"/>
    </w:rPr>
  </w:style>
  <w:style w:type="paragraph" w:customStyle="1" w:styleId="HeadingAbstract">
    <w:name w:val="Heading Abstract"/>
    <w:basedOn w:val="Authorsnames"/>
    <w:pPr>
      <w:spacing w:before="360" w:after="240"/>
    </w:pPr>
    <w:rPr>
      <w:b/>
      <w:bCs/>
      <w:sz w:val="26"/>
      <w:szCs w:val="20"/>
    </w:rPr>
  </w:style>
  <w:style w:type="paragraph" w:customStyle="1" w:styleId="Tableheading">
    <w:name w:val="Table heading"/>
    <w:basedOn w:val="Standard"/>
    <w:rsid w:val="00F7314C"/>
    <w:pPr>
      <w:tabs>
        <w:tab w:val="left" w:pos="851"/>
      </w:tabs>
      <w:spacing w:before="240"/>
      <w:ind w:left="851" w:hanging="851"/>
    </w:pPr>
    <w:rPr>
      <w:bCs/>
    </w:rPr>
  </w:style>
  <w:style w:type="paragraph" w:customStyle="1" w:styleId="Graphicssub-text">
    <w:name w:val="Graphics sub-text"/>
    <w:basedOn w:val="Standard"/>
    <w:rsid w:val="00357CE2"/>
    <w:pPr>
      <w:tabs>
        <w:tab w:val="left" w:pos="709"/>
      </w:tabs>
      <w:spacing w:before="120" w:after="360"/>
      <w:ind w:left="709" w:hanging="709"/>
    </w:pPr>
    <w:rPr>
      <w:bCs/>
    </w:rPr>
  </w:style>
  <w:style w:type="table" w:styleId="Tabellenraster">
    <w:name w:val="Table Grid"/>
    <w:basedOn w:val="NormaleTabelle"/>
    <w:uiPriority w:val="59"/>
    <w:rsid w:val="00BA0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2">
    <w:name w:val="Address_2"/>
    <w:basedOn w:val="Authorsnames"/>
    <w:qFormat/>
    <w:rsid w:val="0020172A"/>
    <w:pPr>
      <w:spacing w:after="0"/>
    </w:pPr>
    <w:rPr>
      <w:sz w:val="18"/>
      <w:lang w:val="de-DE"/>
    </w:rPr>
  </w:style>
  <w:style w:type="paragraph" w:customStyle="1" w:styleId="Address">
    <w:name w:val="Address"/>
    <w:basedOn w:val="Address2"/>
    <w:qFormat/>
    <w:rsid w:val="00EB31D2"/>
    <w:pPr>
      <w:spacing w:after="240"/>
    </w:pPr>
  </w:style>
  <w:style w:type="character" w:styleId="Hyperlink">
    <w:name w:val="Hyperlink"/>
    <w:uiPriority w:val="99"/>
    <w:unhideWhenUsed/>
    <w:rsid w:val="00E324B6"/>
    <w:rPr>
      <w:color w:val="0000FF"/>
      <w:u w:val="single"/>
    </w:rPr>
  </w:style>
  <w:style w:type="paragraph" w:customStyle="1" w:styleId="Abstract">
    <w:name w:val="Abstract"/>
    <w:basedOn w:val="Standard"/>
    <w:qFormat/>
    <w:rsid w:val="00EB31D2"/>
    <w:pPr>
      <w:spacing w:after="100"/>
    </w:pPr>
    <w:rPr>
      <w:sz w:val="18"/>
    </w:rPr>
  </w:style>
  <w:style w:type="paragraph" w:customStyle="1" w:styleId="Keywords">
    <w:name w:val="Keywords"/>
    <w:basedOn w:val="Abstract"/>
    <w:qFormat/>
    <w:rsid w:val="00EB31D2"/>
    <w:pPr>
      <w:spacing w:after="120"/>
      <w:jc w:val="left"/>
    </w:pPr>
  </w:style>
  <w:style w:type="paragraph" w:customStyle="1" w:styleId="JBAbbunterschrift">
    <w:name w:val="JB: Abb.unterschrift"/>
    <w:basedOn w:val="Standard"/>
    <w:rsid w:val="0010263C"/>
    <w:pPr>
      <w:spacing w:before="120" w:after="240"/>
    </w:pPr>
    <w:rPr>
      <w:i/>
      <w:lang w:val="de-DE"/>
    </w:rPr>
  </w:style>
  <w:style w:type="paragraph" w:customStyle="1" w:styleId="bodytext">
    <w:name w:val="bodytext"/>
    <w:basedOn w:val="Standard"/>
    <w:rsid w:val="0010263C"/>
    <w:pPr>
      <w:spacing w:before="100" w:beforeAutospacing="1" w:after="100" w:afterAutospacing="1"/>
      <w:jc w:val="left"/>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8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D8129-2D47-4C66-9A74-C8AA52DE1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8</Pages>
  <Words>2677</Words>
  <Characters>16872</Characters>
  <Application>Microsoft Office Word</Application>
  <DocSecurity>0</DocSecurity>
  <Lines>140</Lines>
  <Paragraphs>39</Paragraphs>
  <ScaleCrop>false</ScaleCrop>
  <HeadingPairs>
    <vt:vector size="6" baseType="variant">
      <vt:variant>
        <vt:lpstr>Titel</vt:lpstr>
      </vt:variant>
      <vt:variant>
        <vt:i4>1</vt:i4>
      </vt:variant>
      <vt:variant>
        <vt:lpstr>Title</vt:lpstr>
      </vt:variant>
      <vt:variant>
        <vt:i4>1</vt:i4>
      </vt:variant>
      <vt:variant>
        <vt:lpstr>Headings</vt:lpstr>
      </vt:variant>
      <vt:variant>
        <vt:i4>7</vt:i4>
      </vt:variant>
    </vt:vector>
  </HeadingPairs>
  <TitlesOfParts>
    <vt:vector size="9" baseType="lpstr">
      <vt:lpstr>1.	Überschrift1</vt:lpstr>
      <vt:lpstr>1.	Überschrift1</vt:lpstr>
      <vt:lpstr>1	Introduction</vt:lpstr>
      <vt:lpstr>2	Probabilistic Modeling of Decisions</vt:lpstr>
      <vt:lpstr>    2.1	Maximum Entropy Probabilities of Wellpads</vt:lpstr>
      <vt:lpstr>    2.2	Cost Distance Models for Pipelines</vt:lpstr>
      <vt:lpstr>3	Discussion</vt:lpstr>
      <vt:lpstr>3	Conclusion and Outlook</vt:lpstr>
      <vt:lpstr>References</vt:lpstr>
    </vt:vector>
  </TitlesOfParts>
  <Company>debis Systemhaus CSF GmbH</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Windows User</cp:lastModifiedBy>
  <cp:revision>7</cp:revision>
  <cp:lastPrinted>2015-09-29T11:50:00Z</cp:lastPrinted>
  <dcterms:created xsi:type="dcterms:W3CDTF">2020-04-24T13:43:00Z</dcterms:created>
  <dcterms:modified xsi:type="dcterms:W3CDTF">2020-12-07T17:56:00Z</dcterms:modified>
</cp:coreProperties>
</file>